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F-261/2021 vom 22. Januar 2021</w:t>
      </w:r>
    </w:p>
    <w:p>
      <w:r>
        <w:t>Bundesverwaltungsgericht, 2021-01-22, FR</w:t>
      </w:r>
    </w:p>
    <w:p>
      <w:r>
        <w:rPr>
          <w:b/>
        </w:rPr>
        <w:t xml:space="preserve">Quelle: </w:t>
      </w:r>
      <w:r>
        <w:t>https://mcp.opencaselaw.ch/entscheid/bvger_F-261_2021</w:t>
      </w:r>
    </w:p>
    <w:p>
      <w:r>
        <w:t>FR: TAF F-261/2021 du 22 janvier 2021</w:t>
      </w:r>
    </w:p>
    <w:p>
      <w:r>
        <w:t>IT: TAF F-261/2021 del 22 gennaio 2021</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4</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4.1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4.2</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4.3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cf. à ce sujet les ATAF 2015/9 consid. 8.2.2 et 2012/4 consid. 2.4 in fine et les références citées).</w:t>
      </w:r>
    </w:p>
    <w:p>
      <w:r>
        <w:rPr>
          <w:b/>
        </w:rPr>
        <w:t>E. 5.1</w:t>
      </w:r>
    </w:p>
    <w:p>
      <w:r>
        <w:t>Dans le cas particulier, les investigations entreprises par le SEM ont révélé, après consultation de l'unité centrale du système européen « Eurodac », que le recourant avait déposé une demande d'asile en Roumanie le 27 octobre 2020. En date du 15 décembre 2020, le SEM a dès lors soumis aux autorités roumaines compétentes, dans le délai fixé à art. 23 par. 2 du règlement Dublin III, une requête aux fins de reprise en charge, fondée sur l'art. 18 par. 1 let. b du règlement Dublin III. Le 23 décembre 2020, lesdites autorités ont accepté la reprise en charge du recourant, en application de cette même disposition. La Roumanie a ainsi valablement reconnu sa compétence pour traiter la demande d'asile de l'intéressé.</w:t>
      </w:r>
    </w:p>
    <w:p>
      <w:r>
        <w:rPr>
          <w:b/>
        </w:rPr>
        <w:t>E. 5.2</w:t>
      </w:r>
    </w:p>
    <w:p>
      <w:r>
        <w:t>Le recourant ne conteste pas, sur le principe, la compétence de la Roumanie, mais s'oppose à son transfert vers cet Etat pour d'autres motifs. Dans ce contexte, il a en particulier mis en avant les mauvais traitements qu'il a subis en Roumanie, ainsi que la présence de plusieurs frères et soeurs en Suisse.</w:t>
      </w:r>
    </w:p>
    <w:p>
      <w:r>
        <w:rPr>
          <w:b/>
        </w:rPr>
        <w:t>E. 5.3</w:t>
      </w:r>
    </w:p>
    <w:p>
      <w:r>
        <w:t>S'agissant de la situation régnant en Roumanie, il sied de relever que ni le Tribunal de céans, ni la Cour européenne des droits de l'Homme (ci-après : le Cour EDH), ni encore la Cour de justice de l'Union européenne (ci-après : la CJUE) n'ont retenu l'existence de défaillances systémiques en Roumanie (cf. notamment l'arrêt du TAF F-4980/2020 du 14 octobre 2020 consid. 5.2 et la référence citée). En outre, dans le cas particulier, le recourant a certes fait valoir qu'il avait été tabassé et forcé à déposer une demande d'asile suite à son arrivée en Roumanie. Il n'a cependant apporté aucun indice objectif, concret et sérieux qu'il serait soumis, en cas de retour en Roumanie, à des traitements ou à des conditions d'accueil contraires à l'art. 3 CEDH. Au demeurant, si - après son retour en Roumanie - le requérant devait être contraint par les circonstances à mener une existence non conforme à la dignité humaine, ou que ce pays viole ses obligations d'assistance à son encontre ou de toute autre manière porte atteinte à ses droits fondamentaux, il lui appartiendrait de faire valoir ses droits directement auprès des autorités roumaines, en usant des voies de droit adéquates. Dans ces conditions, l'application de l'art. 3 par. 2 2ème phrase du règlement Dublin III ne se justifie pas en l'espèce.</w:t>
      </w:r>
    </w:p>
    <w:p>
      <w:r>
        <w:rPr>
          <w:b/>
        </w:rPr>
        <w:t>E. 5.4</w:t>
      </w:r>
    </w:p>
    <w:p>
      <w:r>
        <w:t>Quant à la situation familiale du recourant, il importe de noter en premier lieu qu'il ressort des pièces figurant au dossier que l'intéressé est né le (...) et qu'à aucun moment de la procédure relative à sa demande d'asile en Suisse, cette date de naissance a été remise en cause. L'intéressé n'a en effet fourni aucun document d'identité indiquant qu'il serait mineur. En outre, une fiche d'identité a été remplie à sa venue en Suisse, avec traduction en arabe (cf. la feuille de données personnelles du 26 novembre 2020) où il figure clairement qu'il est né en 2002 et sur laquelle il a apposé sa signature, attestant ainsi de la justesse des données. Partant, et contrairement à ce qu'il a laissé entendre dans son mémoire de recours du 19 janvier 2021, l'intéressé était déjà majeur au moment du dépôt de ses demandes d'asile en Roumanie le 27 octobre 2020 et en Suisse le 26 novembre 2020. Dans ces conditions, il ne peut manifestement pas se prévaloir des dispositions régissant le traitement des demandes d'asile déposées par des requérants mineurs.</w:t>
      </w:r>
    </w:p>
    <w:p>
      <w:r>
        <w:rPr>
          <w:b/>
        </w:rPr>
        <w:t>E. 5.5</w:t>
      </w:r>
    </w:p>
    <w:p>
      <w:r>
        <w:t>Pour le même motif, le recourant ne saurait invoquer l'art. 8 CEDH en relation avec l'art. 17 par. 1 du règlement Dublin III pour s'opposer à son transfert en Roumanie. Les relations familiales existantes entre le recourant majeur et ses frères et soeurs résidant sur le sol helvétique ne sont en effet pas protégées par les garanties conférées par l'art. 8 CEDH, puisque cette disposition conventionnelle vise essentiellement les relations existant au sein de la famille nucléaire (soit entre parents et enfants mineurs) et que le recourant n'a par ailleurs pas fait valoir l'existence d'un rapport de dépendance particulier (sur les éléments qui précèdent, cf. notamment l'ATF 144 II 1 consid. 6.1).</w:t>
      </w:r>
    </w:p>
    <w:p>
      <w:r>
        <w:rPr>
          <w:b/>
        </w:rPr>
        <w:t>E. 5.6</w:t>
      </w:r>
    </w:p>
    <w:p>
      <w:r>
        <w:t>Dans son mémoire de recours, le recourant n'a au demeurant pas contesté l'appréciation du SEM selon laquelle il ne souffrait pas de problèmes médicaux susceptibles de s'opposer à son transfert en Roumanie en vertu de l'art. 3 CEDH en relation avec l'art. 17 par. 1 du règlement Dublin III.</w:t>
      </w:r>
    </w:p>
    <w:p>
      <w:r>
        <w:rPr>
          <w:b/>
        </w:rPr>
        <w:t>E. 5.7</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6</w:t>
      </w:r>
    </w:p>
    <w:p>
      <w:r>
        <w:t>En conséquence, c'est à bon droit que le SEM n'est pas entré en matière sur la demande d'asile du recourant, en application de l'art. 31a al. 1 let. b LAsi, et qu'il a prononcé son transfert de Suisse vers la Roumanie, en application de l'art. 44 LAsi, aucune exception à la règle générale du renvoi n'étant réalisée (art. 32 OA 1).</w:t>
      </w:r>
    </w:p>
    <w:p>
      <w:r>
        <w:rPr>
          <w:b/>
        </w:rPr>
        <w:t>E. 7</w:t>
      </w:r>
    </w:p>
    <w:p>
      <w:r>
        <w:t>Partant, le recours est rejeté. En outre, dans la mesure où il a été immédiatement statué sur le fond, les requêtes formulées dans le mémoire de recours tendant à l'octroi de l'effet suspensif et à la dispense du versement d'une avance de frais sont devenues sans objet.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le recourant ne saurait en effet prétendre à l'octroi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