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F-2618/2026 vom 21. April 2026</w:t>
      </w:r>
    </w:p>
    <w:p>
      <w:r>
        <w:t>Bundesverwaltungsgericht, 2026-04-21, DE</w:t>
      </w:r>
    </w:p>
    <w:p>
      <w:r>
        <w:rPr>
          <w:b/>
        </w:rPr>
        <w:t xml:space="preserve">Quelle: </w:t>
      </w:r>
      <w:r>
        <w:t>https://mcp.opencaselaw.ch/entscheid/bvger_F-2618_2026</w:t>
      </w:r>
    </w:p>
    <w:p>
      <w:r>
        <w:t>FR: TAF F-2618/2026 du 21 avril 2026</w:t>
      </w:r>
    </w:p>
    <w:p>
      <w:r>
        <w:t>IT: TAF F-2618/2026 del 21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Vorab ist festzuhalten, dass die Vorinstanz das vorliegende Asylgesuch des Beschwerdeführers vom 28. Januar 2026 zu Recht als Mehrfachgesuch im Sinn von Art. 111c Abs. 1 AsylG qualifiziert hat. Auf sein erstes Asylgesuch vom März 2021 ist sie mit Verfügung vom 4. August 2021 nicht eingetreten (rechtskräftig bestätigt mit Urteil des BVGer D-3656/2021 vom 20. August 2021). Die Einreichung des schriftlichen und begründeten zweiten Asylgesuchs in der Schweiz erfolgte damit innert fünf Jahren nach Rechtskraft der letzten Nichteintretensverfügung.</w:t>
      </w:r>
    </w:p>
    <w:p>
      <w:r>
        <w:rPr>
          <w:b/>
        </w:rPr>
        <w:t>E. 2.2</w:t>
      </w:r>
    </w:p>
    <w:p>
      <w:r>
        <w:t>Weiter hat die Vorinstanz korrekt erwogen, dass gemäss Art. 18 Abs. 1 Bst. d Dublin-III-VO grundsätzlich Deutschland für das Asylverfahren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Die vom Beschwerdeführer angeführte drohende Abschiebung in die Türkei und die ihm dort mutmasslich drohende strafrechtliche Verfolgung hat die Vorinstanz berücksichtigt und korrekt erwogen, dass keine begründeten Hinweise vorlägen, wonach Deutschland seinen völkerrechtlichen Verpflichtungen nicht nachgekommen wäre und das Asyl- und Wegweisungsverfahren nicht korrekt durchgeführt hätte. Die gesundheitlichen Beschwerden des Beschwerdeführers (operative Entfernung eines [...]karzinoms und in der Folge Mangelernährung bei [...]-Syndrom [Beschwerden nach totaler oder teilweiser Entfernung {}], mittelschwere depressive Episode) hat die Vorinstanz rechtsprechungskonform gewürdigt und festgehalten, dass Deutschland über eine ausreichende medizinische Infrastruktur verfügt. Sie hat ferner zu Recht darauf hingewiesen, dass der Beschwerdeführer in Deutschland bereits umfassend medizinisch versorgt wurde (vgl. die vom Beschwerdeführer eingereichten zahlreichen Arztberichte) und ihm dort das (...)karzinom erfolgreich operativ entfernt worden ist. Zudem hat sie auf den Bericht des Spitals B._______ vom 4. Februar 2026 und den Bericht von C._______ vom 19. März 2026 verwiesen, in welchen festgehalten wird, dass sich das Körpergewicht des Beschwerdeführers stabilisiert habe und er keine vertiefende Exploration der psychischen Belastung wünsche. Bezüglich des (...)karzinoms sei es zu keinem Rezidiv gekommen und es würden keine Metastasen vorliegen. Schliesslich hat die Vorinstanz auf den Bericht der den Beschwerdeführer in Deutschland behandelnden D._______ vom 10. Dezember 2025 hingewiesen, aus dem hervorgeht, dass die von ihm benötigte medizinische Versorgung in Deutschland gewährleistet ist. Entsprechend geht die Vorinstanz zu Recht davon aus, dass keine Hinweise dafür bestehen, dass ihm in Deutschland die erforderliche medizinische Versorgung verweigert würde. Sie durfte demnach auch auf Art. 14 der Richtlinie 2008/115/EG vom 16. Dezember 2008 des Europäischen Parlaments und des Rates über gemeinsame Normen und Verfahren in den Mitgliedstaaten zur Rückführung illegal aufhältiger Drittstaatsangehöriger (Rückführungsrichtlinie) verweisen, die auch für abgewiesene Asylsuchende die Gewährung medizinischer Notfallversorgung und unbedingt erforderlicher Behandlung von Krankheiten vorsieht. Auch hat die Vorinstanz - insbesondere im Hinblick auf die geltend gemachte Suizidalität - korrekt erwogen, dass die schweizerischen Behörden, die mit dem Vollzug der angefochten Verfügung beauftragt sind, den medizinischen Umständen bei der Bestimmung der konkreten Modalitäten der Überstellung des Beschwerdeführers Rechnung tragen und die deutschen Behörden vorgängig in geeigneter Weise über die spezifischen medizinischen Umstände informieren werden (vgl. Art. 31 f. Dublin-III-VO). Darüber hinaus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Mehrfachgesuch des Beschwerdeführers nicht eingetreten und hat in Anwendung von Art. 44 AsylG seine Wegweisung nach Deutschland angeordnet. Zur näheren Begründung wird auf die Erwägungen der Vorinstanz verwiesen.</w:t>
      </w:r>
    </w:p>
    <w:p>
      <w:r>
        <w:rPr>
          <w:b/>
        </w:rPr>
        <w:t>E. 2.3</w:t>
      </w:r>
    </w:p>
    <w:p>
      <w:r>
        <w:t>Auf Beschwerdeebene wiederholt der Beschwerdeführer seine bereits im vorinstanzlichen Verfahren gemachten Vorbringen, weshalb auf das Vorgesagte verwiesen werden kann.</w:t>
      </w:r>
    </w:p>
    <w:p>
      <w:r>
        <w:rPr>
          <w:b/>
        </w:rPr>
        <w:t>E. 3</w:t>
      </w:r>
    </w:p>
    <w:p>
      <w:r>
        <w:t>Nach dem Gesagten ist die angefochtene Verfügung vom 1. April 2026 nicht zu beanstanden und die Beschwerde abzuweisen.</w:t>
      </w:r>
    </w:p>
    <w:p>
      <w:r>
        <w:rPr>
          <w:b/>
        </w:rPr>
        <w:t>E. 4</w:t>
      </w:r>
    </w:p>
    <w:p>
      <w:r>
        <w:t>Mit vorliegendem Urteil fällt der am 15. April 2026 angeordnete Vollzugsstopp dahin.</w:t>
      </w:r>
    </w:p>
    <w:p>
      <w:r>
        <w:rPr>
          <w:b/>
        </w:rPr>
        <w:t>E. 5</w:t>
      </w:r>
    </w:p>
    <w:p>
      <w:r>
        <w:t>Die Begehren erweisen sich als aussichtslos, weshalb das Gesuch um unentgeltliche Rechtspflege (Art. 65 Abs. 1 und 2 VwVG) abzuweisen ist.</w:t>
      </w:r>
    </w:p>
    <w:p>
      <w:r>
        <w:rPr>
          <w:b/>
        </w:rPr>
        <w:t>E. 6</w:t>
      </w:r>
    </w:p>
    <w:p>
      <w:r>
        <w:t>Bei diesem Ausgang des Verfahrens sind die Kosten dem Beschwerdeführer aufzuerlegen (Art. 63 Abs. 1 VwVG) und bei einem Mehrfachgesuch praxisgemäss auf Fr. 1'500.-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