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F-2618/2017 vom 14. Dezember 2017</w:t>
      </w:r>
    </w:p>
    <w:p>
      <w:r>
        <w:t>Bundesverwaltungsgericht, 2017-12-14, DE</w:t>
      </w:r>
    </w:p>
    <w:p>
      <w:r>
        <w:rPr>
          <w:b/>
        </w:rPr>
        <w:t xml:space="preserve">Quelle: </w:t>
      </w:r>
      <w:r>
        <w:t>https://mcp.opencaselaw.ch/entscheid/bvger_F-2618_2017</w:t>
      </w:r>
    </w:p>
    <w:p>
      <w:r>
        <w:t>FR: TAF F-2618/2017 du 14 décembre 2017</w:t>
      </w:r>
    </w:p>
    <w:p>
      <w:r>
        <w:t>IT: TAF F-2618/2017 del 14 dicembre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Beschwerdeführerin ist als Gastgeberin und Einsprecherin zur Be-schwerde legitimiert (Art. 48 Abs. 1 VwVG). Gleiches gilt nach der neueren Rechtsprechung im Sinne einer weiten Auslegung von Art. 48 Abs. 1 Bst. a VwVG auch für die Gesuchstellerin (vgl. zum Ganzen BVGE 2014/1 E. 1.3.2). Letztlich braucht die Frage nach Vorliegen einer Vollmacht auch nicht abschliessend beurteilt zu werden.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einer Staatsangehörigen von Marokko.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4.1</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Marokko stammenden Gesuchstellerin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4.2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5</w:t>
      </w:r>
    </w:p>
    <w:p>
      <w:r>
        <w:t>Im vorliegenden Fall hat die Vorinstanz die fristgerechte und anstandslose Wiederausreise der Gesuchstellerin als nicht gewährleistet betrachtet und dies sowohl mit der wirtschaftlichen Situation in ihrem Heimatland als auch mit ihren persönlichen Verhältnissen begründet. Zu der somit im Vordergrund stehenden Frage der gesicherten Wiederausreise können jedoch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6.1</w:t>
      </w:r>
    </w:p>
    <w:p>
      <w:r>
        <w:t>Marokko ist grundsätzlich wirtschaftlich stabil. Der langjährige Aufschwung hatte sich 2016 durch dürrebedingte Ernterückgänge stark abgeschwächt. Die wirtschaftlichen Aussichten für 2017 liegen jedoch wieder im Trendwachstum von ca. 4 Prozent. Dennoch sind noch immer weite Bevölkerungsschichten von verhältnismässig schwierigen Verhältnissen betroffen. Ein zentrales Hindernis ist dabei das geringe Bildungsniveau. Die Analphabetenquote beträgt 28,3 %. Besonders Frauen und Mädchen in ländlichen Gebieten haben keinen ausreichenden Zugang zu Bildung. Das Königreich hat mit weiteren sozialen Problemen zu kämpfen, die durch Verstädterung und Industrialisierung entstehen. Die Kluft zwischen Arm und Reich ist gross. Die Arbeitslosigkeit lag 2016 bei 9,4 %. Aufgrund dieser Umstände begeben sich viele Menschen auf der Suche nach besseren ökonomischen und/oder sozialen Bedingungen in die städtischen Zentren (z.B. Rabat, Casablanca oder Marrakesch) - wodurch sich dort die Probleme verschärfen - oder gar in Richtung Europa. Dass viele Menschen aus Marokko emigrieren, zeigt sich einerseits an den beträchtlichen Rücküberweisungen aus dem Ausland, die in den letzten Jahren jeweils rund 7 % zum Bruttoinlandprodukt beigetragen haben. Andererseits wirkt sich dieser Umstand auch auf die Schweizer Asylstatistik aus, in der Marokko seit geraumer Zeit zu den Hauptherkunftsländern gehört (Quellen: Staatssekretariat für Migration, Asylstatistik 2016 S. 3 https://www.sem.admin.ch/dam/data/sem/publiservice/statistik/asylstatistik/2016/stat-jahr-2016-kommentar-d.pdf &gt;; Deutsches Auswärtiges Amt, &lt; www.auswaertiges-amt.de &gt; Reise &amp; Sicherheit &gt; Reise- und Sicherheitshinweise: Länder A-Z &gt; Marokko &gt; Wirtschaft bzw. Innenpolitik, Stand: Februar 2017; Germany Trade &amp; Invest, &lt; http://www.gtai.de &gt; trade &gt; Länderseiten &gt; Marokko &gt; 26. Juni 2017 Wirtschaftsdaten kompakt - Marokko, alle Websites besucht im November 2017; vgl. auch Urteil des BVGer C-7276/2015 vom 3. März 2016 E. 5.3).</w:t>
      </w:r>
    </w:p>
    <w:p>
      <w:r>
        <w:rPr>
          <w:b/>
        </w:rPr>
        <w:t>E. 6.2</w:t>
      </w:r>
    </w:p>
    <w:p>
      <w:r>
        <w:t>Vor diesem Hintergrund besteht bei der marokkanischen Bevölkerung ein vielfacher Wunsch nach Auswanderung, der sich vor allem bei denjenigen manifestiert, die bereits über ein Beziehungsnetz im Ausland verfügen.</w:t>
      </w:r>
    </w:p>
    <w:p>
      <w:r>
        <w:rPr>
          <w:b/>
        </w:rPr>
        <w:t>E. 6.3</w:t>
      </w:r>
    </w:p>
    <w:p>
      <w:r>
        <w:t>Allein aufgrund der allgemeinen Lage im Herkunftsland darf zwar nicht auf eine nicht hinreichend gesicherte Wiederausreise geschlossen werden; angesichts der sozio-ökonomischen Verhältnisse und der angespannten Sicherheitslage muss den sozialen Bindungen und Verpflichtungen dort lebender Gesuchsteller aber ein erhebliches Gewicht zukommen, damit deren Rückkehr als wahrscheinlich gelten kann. 7.7.1 Die Gesuchstellerin ist 71 Jahre alt und seit 16 Jahren Witwe. Es wurde vorgebracht, in Marokko habe sie lediglich noch einen Bruder. Alle ihre Kinder würden in Europa leben. Dennoch sei sie in Marokko sozial gut eingebunden. In diesen Verhältnissen ist sicherlich eine gewisse soziale Einbindung in ein familiäres bzw. freundschaftliches Gefüge zu erblicken. Es besteht jedoch kein Abhängigkeitsverhältnis zwischen der Gesuchstellerin und ihrem Bruder. Gestützt auf die Akten sind auch keine gesellschaftlichen Verpflichtungen ersichtlich. 7.2 Einer Bestätigung der marokkanischen Rentenkasse vom 11. Mai 2001 kann entnommen werden, dass die Gesuchstellerin eine jährliche Rente von MAD 17'017.20 (entspricht rund Euro 1'532.-) bezieht. Des Weiteren wurde angegeben, die Gesuchstellerin betreibe in Marokko ein Taxi. Der monatliche Umsatz ihres Taxis betrage durchschnittlich MAD 4'500.-. Nach Abzug des Aufwands (Lohn des Taxifahrers etc.) würden ihr netto MAD 2'025.- (entspricht rund Euro 182.-) monatlich verbleiben. Der Nachweis, dass die Gesuchstellerin tatsächlich so viel verdienen soll, wurde nicht erbracht. Einer Bestätigung der BMCE Bank vom 26. April 2017 kann entnommen werden, dass die Gesuchstellerin über ein Guthaben von MAD 201'716.57 verfügt (entspricht rund Euro 18'165.-). Sie habe im Jahr 2015 ein neues Auto zu einem Preis von MAD 263'925.- (entspricht rund Euro 23'767.-) gekauft. Ausserdem sei sie Eigentümerin eines Einfamilienhauses in der Stadt Y._______, welches sie von ihrem verstorbenen Ehemann geerbt habe. Die Kinder hätten auf ihren Erbteil verzichtet. Das Haus habe einen Marktwert von ca. MAD 1'000'000.- (entspricht rund Euro 90'051.-). Diese Schätzung wurde jedoch nicht belegt. Die Bevölkerung in Marokko verfügt über ein durchschnittliches Pro-Kopf-Einkommen von Euro 2'575.- pro Jahr (vgl. Laenderdaten.info, https://www.laenderdaten.info/durchschnittseinkommen.php , abgerufen im November 2017). Mit ihrer Rente von jährlich Euro 1'526.- hat die Gesuchstellerin in Marokko somit ein unterdurchschnittliches Einkommen. Überdies ist festzustellen, dass Vermögenswerte wie Grundeigentum und Ersparnisse durch eine Emigration nicht verloren gehen. 7.3 Zusammenfassend ist festzuhalten, dass die Gesuchstellerin angesichts der schwierigen sozio-ökonomischen Verhältnisse in Marokko und mangels besonders gesicherter Einkommens- und Vermögensverhältnisse und/oder besonderer Verpflichtungen oder Abhängigkeiten gegenüber Familienmitgliedern keine Gewähr für eine Rückkehr nach ihrem Aufenthalt in der Schweiz hat glaubhaft machen können. 7.4 Der prekäre Gesundheitszustand der Betroffenen - falls erwiesen - könnte sie auch dazu verleiten, zwecks Verbleibens in die Schweiz zu reisen, wo sich sowohl Angehörige um sie kümmern könnten, als auch ein ausgebautes Krankenversicherungssystem besteht. 7.5 An den guten Absichten und der Integrität der Beschwerdeführerin ist nicht zu zweifeln. Sie kann in ihrer Eigenschaft als Gastgeberin für gewisse finanzielle Risiken (Lebenshaltungskosten während des Besuchsaufenthalts, allfällige von einer Versicherung nicht gedeckte Kosten für Unfall und Krankheit sowie Repatriierung) Garantie leisten, nicht aber - mangels rechtlicher und faktischer Durchsetzbarkeit - für ein bestimmtes Verhalten ihres Gastes (vgl. BVGE 2009/27 E. 9). Zudem ist jedes Einreisegesuch nach Massgabe seiner spezifischen Gegebenheiten einzelfallweise zu beurteilen (vgl. Urteile des BVGer F-1170/2016 vom 11. Juli 2017 E. 6.3 m.H.). In diesem Zusammenhang gilt es im Weitern darauf hinzuweisen, dass die Vorinstanz auf Anfang Dezember 2014 hin ihre Visumspraxis gegenüber marokkanischen Staatsangehörigen verschärft hat; dies als Folge festgestellter Missbrauchsfälle (vgl. Urteil des BVGer C-5062/2014 vom 3. Februar 2015 E. 6.3). Kommt hinzu, dass die Gesuchstellerin eben erst vor zwei Jahren unter Hinweis auf "gesundheitliche Gründe" versucht hatte, einen längerfristigen Aufenthalt in der Schweiz zu erwirken. 7.6 Insgesamt ist die Schlussfolgerung der Vorinstanz, wonach die Wiederausreise der Gesuchstellerin angesichts der allgemeinen Lage im Heimatland und ihrer individuellen Situation zu wenig gesichert sei, nicht zu beanstanden. 7.7 Mit der fehlenden Gewähr für eine anstandslose Wiederausreise ist eine unabdingbare Voraussetzung zur Erteilung eines Schengen-Visums nicht erfüllt. Gründe für die Ausstellung eines Visums mit räumlich beschränkter Gültigkeit (vgl. dazu E. 4.2) liegen ebenfalls nicht vor.</w:t>
      </w:r>
    </w:p>
    <w:p>
      <w:r>
        <w:rPr>
          <w:b/>
        </w:rPr>
        <w:t>E. 7</w:t>
      </w:r>
    </w:p>
    <w:p>
      <w:r>
        <w:t>Aus vorstehenden Erwägungen folgt, dass die angefochtene Verfügung im Lichte von Art. 49 VwVG nicht zu beanstanden ist. Die Beschwerde ist daher abzuweisen.</w:t>
      </w:r>
    </w:p>
    <w:p>
      <w:r>
        <w:rPr>
          <w:b/>
        </w:rPr>
        <w:t>E. 8</w:t>
      </w:r>
    </w:p>
    <w:p>
      <w:r>
        <w:t>Bei diesem Ausgang des Verfahrens sind die Kosten der Beschwerdeführerin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