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F-2615/2026 vom 16. April 2026</w:t>
      </w:r>
    </w:p>
    <w:p>
      <w:r>
        <w:t>Bundesverwaltungsgericht, 2026-04-16, DE</w:t>
      </w:r>
    </w:p>
    <w:p>
      <w:r>
        <w:rPr>
          <w:b/>
        </w:rPr>
        <w:t xml:space="preserve">Quelle: </w:t>
      </w:r>
      <w:r>
        <w:t>https://mcp.opencaselaw.ch/entscheid/bvger_F-2615_2026</w:t>
      </w:r>
    </w:p>
    <w:p>
      <w:r>
        <w:t>FR: TAF F-2615/2026 du 16 avril 2026</w:t>
      </w:r>
    </w:p>
    <w:p>
      <w:r>
        <w:t>IT: TAF F-2615/2026 del 16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i.V.m. Art. 48 Abs. 1 VwVG). Auf die frist- und formgerecht eingereichte Beschwerde ist - vorbehältlich der nachfolgenden Erwägung 1.3 -einzutreten (Art. 108 Abs. 3 AsylG i.V.m. Art. 52 Abs. 1 VwVG).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Rechtsbegehren des Beschwerdeführers zielen jedoch auf die Anerkennung der Flüchtlingseigenschaft und die Gewährung von Asyl, subsidiär auf die Gewährung der vorläufigen Aufnahme ab (s. Bst. B.a hiervor). Diese Rechtsbegehren befinden sich ausserhalb des Anfechtungsgegenstands und sind folglich unzulässig. Auf sie ist nicht einzutreten. Dementsprechend erübrigen sich Weiterungen zu den Ausführungen des Beschwerdeführers hinsichtlich der geltend gemachten Ereignisse in Afghanistan. Der Beschwerdeführer handelte jedoch ohne Rechtsvertretung und aus der Begründung geht hervor, dass er sich der Überstellung nach Bulgarien widersetzen wollte. Dabei handelt es sich im vorliegenden Kontext eines Nichteintretensentscheids (Dublin) um ein zulässiges Rechtsbegehren, weshalb auf die Beschwerde insofern einzutreten ist.</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18 Abs. 1 Bst. c Dublin-III-VO grundsätzlich Bulgarien für die Behandlung des Asylgesuchs des Beschwerdeführers zuständig ist und das bulgarische Asylsystem rechtsprechungsgemäss keine systemischen Mängel aufweist (vgl. Referenzurteil des BVGer F-7195/2018 vom 11. Februar 2020 E. 6.6.7; jüngst Urteil des BVGer F-2147/2026 vom 26. März 2026 E. 2.1), aufgrund derer die Zuständigkeit gemäss Art. 3 Abs. 2 Dublin-III-VO auf die Schweiz überginge. Angesichts dessen erübrigen sich Weiterungen zur geltend gemachten Gefahr einer allfälligen Kettenabschiebung (einlässlich dazu Urteil des EuGH vom 30. November 2023, verbundene Rechtssachen C-228/21, C-254/21, C 297/21, C-315/21 und C-328/21, §§ 129-142 und Ziff. 2 des Dispositivs). Sodann sind vorliegend keine völkerrechtlichen Vollzugshindernisse ersichtlich, welche die Schweiz zu einem Selbsteintritt nach Art. 17 Abs. 1 Dublin-III-VO und Art. 29a Abs. 3 der Asylverordnung 1 vom 11. August 1999 (AsylV 1, SR 142.311) verpflichten würden. Die Vor-instanz hat ferner zutreffend festgehalten, dass der hier lebende Bruder des volljährigen Beschwerdeführers kein Familienangehöriger im Sinne von Art. 2 Bst. g Dublin-IIII-VO ist und überdies ein Abhängigkeitsverhältnis der erwachsenen Brüder weder dargetan noch ersichtlich ist (vgl. Art. 16 Abs. 1 Dublin-III-VO, Art. 8 EMRK). Schliesslich hat sie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Bulgarien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Ferner ist die Abnahme von Fingerabdrücken bei mindestens 14 Jahre alten, illegal einreisenden Drittstaatsangehörigen vorgeschrieben (vgl. Art. 14 Abs. 1 der Verordnung [EU] Nr. 603/2013 des Europäischen Parlaments und des Rates vom 26. Juni 2013 [Eurodac-Verordnung]). Der Beschwerdeführer wurde am 29. Dezember 2025 in Bulgarien daktyloskopisch erfasst, was sich unbenommen seiner angeblich fehlenden Absicht, dort ein Asylgesuch einzureichen, als zuständigkeitsbegründend erweist. In Bezug auf die Vorbringen betreffend Gewaltanwendung durch die bulgarische Polizei ist anzumerken, dass Bulgarien Signatarstaat der EMRK und des Übereinkommens vom 10. Dezember 1984 gegen Folter und andere grausame, unmenschliche oder erniedrigende Behandlung oder Strafe (FoK, SR 0.105) ist und die entsprechenden völkerrechtlichen Verpflichtungen zu beachten hat. Die Vorbringen des Beschwerdeführers lassen nicht den Schluss zu, er hätte bei einer Überstellung nach Bulgarien mit hoher Wahrscheinlichkeit eine unmenschliche oder erniedrigende Behandlung im Sinne von Art. 3 EMRK zu gewärtigen. Sollte er nach seiner Rückkehr von Behördenvertretern rechtswidrig behandelt werden, hat er sich an das bulgarische Justizwesen oder die dortigen Aufsichtsbehörden zu wenden.</w:t>
      </w:r>
    </w:p>
    <w:p>
      <w:r>
        <w:rPr>
          <w:b/>
        </w:rPr>
        <w:t>E. 4</w:t>
      </w:r>
    </w:p>
    <w:p>
      <w:r>
        <w:t>Nach dem Gesagten ist die angefochtene Verfügung nicht zu beanstanden (Art. 106 AsylG). Die Beschwerde ist abzuweisen, soweit darauf einzutreten ist.</w:t>
      </w:r>
    </w:p>
    <w:p>
      <w:r>
        <w:rPr>
          <w:b/>
        </w:rPr>
        <w:t>E. 5.1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5.2</w:t>
      </w:r>
    </w:p>
    <w:p>
      <w:r>
        <w:t>Die Gesuche um Gewährung der unentgeltlichen Prozessführung respektive um Einsetzung eines amtlichen Rechtsbeistands sind allesamt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