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F-260/2023 vom 29. Dezember 2023</w:t>
      </w:r>
    </w:p>
    <w:p>
      <w:r>
        <w:t>Bundesverwaltungsgericht, 2023-12-29, FR</w:t>
      </w:r>
    </w:p>
    <w:p>
      <w:r>
        <w:rPr>
          <w:b/>
        </w:rPr>
        <w:t xml:space="preserve">Quelle: </w:t>
      </w:r>
      <w:r>
        <w:t>https://mcp.opencaselaw.ch/entscheid/bvger_F-260_2023</w:t>
      </w:r>
    </w:p>
    <w:p>
      <w:r>
        <w:t>FR: TAF F-260/2023 du 29 décembre 2023</w:t>
      </w:r>
    </w:p>
    <w:p>
      <w:r>
        <w:t>IT: TAF F-260/2023 del 29 dicembre 2023</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2014/1 consid. 2).</w:t>
      </w:r>
    </w:p>
    <w:p>
      <w:r>
        <w:rPr>
          <w:b/>
        </w:rPr>
        <w:t>E. 3.1</w:t>
      </w:r>
    </w:p>
    <w:p>
      <w:r>
        <w:t>L'entrée en vigueur, au 1er janvier 2018, de la loi du 20 juin 2014 sur la nationalité suisse (LN, RS 141.0)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3.3</w:t>
      </w:r>
    </w:p>
    <w:p>
      <w:r>
        <w:t>En l'occurrence, tant la signature de la déclaration de vie commune (le 7 septembre 2016) que le prononcé de la décision de la naturalisation facilitée (le 9 novembre 2016) ont eu lieu sous l'empire de l'ancien droit. C'est donc, l'aLN qui trouve application in casu s'agissant des conditions de fond à l'annulation de la naturalisation.</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consid.2.2 ; 135 II 161 consid. 2).</w:t>
      </w:r>
    </w:p>
    <w:p>
      <w:r>
        <w:rPr>
          <w:b/>
        </w:rPr>
        <w:t>E. 4.2</w:t>
      </w:r>
    </w:p>
    <w:p>
      <w:r>
        <w:t>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w:t>
      </w:r>
    </w:p>
    <w:p>
      <w:r>
        <w:rPr>
          <w:b/>
        </w:rPr>
        <w:t>E. 4.3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w:t>
      </w:r>
    </w:p>
    <w:p>
      <w:r>
        <w:t>Le SEM peut, dans le délai prévu par la loi, annuler la naturalisation ou la réintégration obtenue par des déclarations mensongères ou par la dissimulation de faits essentiels (art. 41 al. 1 et 1bis aLN).</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l'arrêt du TF 1C_46/2023 du 14 août 2023 consid. 4.1 et les arrêts cités). 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(cf. ATF 135 II 161 consid. 3 ; arrêt du TF 1C_428/2022 du 7 mars 2023 consid. 4.1.2). Si l'enchaînement rapide des événements permet de fonder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(art. 13 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la vie commune et la séparation des époux (cf. arrêt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1C_206/2021 du 19 août 2021 consid. 3.1 in fine ; 1C_104/2021 du 7 juillet 2021 consid. 3.1 in fine ; arrêt du TAF F-4148/2021 du 28 mars 2023 consid. 6.4 in fine).</w:t>
      </w:r>
    </w:p>
    <w:p>
      <w:r>
        <w:rPr>
          <w:b/>
        </w:rPr>
        <w:t>E. 5.3</w:t>
      </w:r>
    </w:p>
    <w:p>
      <w:r>
        <w:t>Cela dit, s'agissant d'une présomption de fait, qui ressortit à l'appréciation des preuves et ne modifie pas le fardeau de la preuve (cf. ATF 135 II 161 consid. 3 p. 166),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et, ainsi, l'existence d'une véritable volonté de maintenir une union stable avec son conjoint lorsqu'il a signé la déclaration (cf. ATF 135 II 161 consid. 3, voir également les arrêts du TF précités 1C_46/2023 consid. 4.1 et 1C_428/2022 consid. 4.1.2).</w:t>
      </w:r>
    </w:p>
    <w:p>
      <w:r>
        <w:rPr>
          <w:b/>
        </w:rPr>
        <w:t>E. 6</w:t>
      </w:r>
    </w:p>
    <w:p>
      <w:r>
        <w:t>A titre liminaire, le Tribunal constate que la naturalisation facilitée accordée au recourant par décision du 9 novembre 2016 a été annulée par le SEM le 30 novembre 2022, soit avant l'échéance du délai péremptoire prévu par la disposition précitée. En outre, le SEM a été informé de la séparation du recourant de son épouse suisse par courrier du 23 février 2022 de l'autorité cantonale. Le 22 mars 2022, le recourant a été avisé de l'ouverture de la procédure d'annulation de sa naturalisation facilitée et la décision querellée a été rendue le 30 novembre 2022, de sorte que le délai relatif de deux ans à compter du jour où le SEM a pris connaissance des faits déterminants est également respecté. Partant, les conditions formelles d'annulation de la naturalisation facilitée prévues à l'art. 41 al. 1bis aLN sont réalisées en l'espèce.</w:t>
      </w:r>
    </w:p>
    <w:p>
      <w:r>
        <w:rPr>
          <w:b/>
        </w:rPr>
        <w:t>E. 7</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w:t>
      </w:r>
    </w:p>
    <w:p>
      <w:r>
        <w:rPr>
          <w:b/>
        </w:rPr>
        <w:t>E. 7.1</w:t>
      </w:r>
    </w:p>
    <w:p>
      <w:r>
        <w:t>Le recourant invoque la violation de l'art. 36 LN. Il conteste avoir obtenu la naturalisation facilitée par des déclarations mensongères. Il reproche au SEM de ne pas avoir tenu compte des circonstances pertinentes du cas d'espèce et d'avoir retenu qu'il n'était pas parvenu à renverser la présomption jurisprudentielle. Les griefs de fond et de forme soulevés par le recourant se confondant, ils seront traités ensemble ci-après.</w:t>
      </w:r>
    </w:p>
    <w:p>
      <w:r>
        <w:rPr>
          <w:b/>
        </w:rPr>
        <w:t>E. 7.2</w:t>
      </w:r>
    </w:p>
    <w:p>
      <w:r>
        <w:t>Contrairement à ce que le recourant allègue et comme cela a déjà été rappelé ci-dessus, l'ancien droit en vigueur jusqu'au 31 décembre 2017 trouve application dans le cas d'espèce (cf. supra consid. 3. 2 et 3.3). Cela est toutefois sans conséquence sur l'issue de la cause. Les conditions de fond posées aux art. 41 al. 1 aLN et 36 al. 1 LN sont en effet identiques, la seule différence résidant dans l'assentiment de l'autorité du canton d'origine exigé par l'art. 41 al. 1 aLN, auquel le nouveau droit applicable immédiatement sur ce point (cf. ATF 136 II 5 consid. 1.2; arrêts 1C_126/2022 du 29 juillet 2022 consid. 2 ; 1C_574/2021 du 27 avril 2022 consid. 2.4) a renoncé (arrêts précités 1C_126/2022 consid. 2 et 1C_574/2021 consid. 2.4).</w:t>
      </w:r>
    </w:p>
    <w:p>
      <w:r>
        <w:rPr>
          <w:b/>
        </w:rPr>
        <w:t>E. 7.3</w:t>
      </w:r>
    </w:p>
    <w:p>
      <w:r>
        <w:t>S'agissant de la présomption jurisprudentielle (cf. supra consid. 5.3), le Tribunal relève que le recourant s'est marié le 16 février 2008, qu'il a introduit une requête de naturalisation facilitée le 29 novembre 2015, contresigné, le 7 septembre 2016, la déclaration de vie commune affirmant la stabilité de son mariage, a obtenu sur cette base la nationalité suisse le 9 novembre 2016 (cf. supra lettre. B), et s'est enfin séparé de son épouse le 16 décembre 2017 (cf. convention relative aux mesures protectrices de l'union conjugale du 14 septembre 2018 et procès-verbal de l'audition du 3 octobre 2022 de l'ex-épouse du recourant). Au vu de la chronologie des faits, le Tribunal considère, à l'instar du SEM, que le court laps de temps entre la déclaration de vie commune (7 septembre 2016) et la séparation définitive des époux (16 décembre 2017), soit environ 15 mois, permet d'appliquer la présomption jurisprudentielle selon laquelle, au moment de la signature de la déclaration de vie commune et, a fortiori, lors de la décision de naturalisation, la communauté conjugale de l'intéressé n'était plus stable et orientée vers l'avenir (cf. supra consid. 5.3). Ce point est d'ailleurs admis par le recourant.</w:t>
      </w:r>
    </w:p>
    <w:p>
      <w:r>
        <w:rPr>
          <w:b/>
        </w:rPr>
        <w:t>E. 7.4</w:t>
      </w:r>
    </w:p>
    <w:p>
      <w:r>
        <w:t>Cette présomption se trouve par ailleurs renforcée par les déclarations de l'ex-épouse du recourant. En effet, en ce qui concerne les difficultés à l'origine de leur séparation, respectivement de leur divorce, elle a déclaré, lors de son audition du 3 octobre 2022, que « je n'ai pas de raisons concrètes, si ce n'est que l'usure du couple ». Cet élément est un indice supplémentaire permettant de présumer que les difficultés du couple remontent à une période antérieure à la date de la déclaration de vie commune et corrobore le fait que la séparation et le divorce résultent d'une dégradation progressive de l'union conjugale.</w:t>
      </w:r>
    </w:p>
    <w:p>
      <w:r>
        <w:rPr>
          <w:b/>
        </w:rPr>
        <w:t>E. 8</w:t>
      </w:r>
    </w:p>
    <w:p>
      <w:r>
        <w:t>Conformément à la jurisprudence précitée (cf. supra consid. 5.3), il s'agit ici donc uniquement de déterminer si le recourant est parvenu à renverser la présomption de fait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8.1</w:t>
      </w:r>
    </w:p>
    <w:p>
      <w:r>
        <w:t>En l'espèce, le recourant estime en particulier qu'au vu de la durée de son mariage, de sa vie conjugale au Burkina Faso avant de s'installer en Suisse, de la naissance de ses deux enfants, ainsi que des voyages en couple (en 2010, 2013 et 2017), la présomption de fait serait renversée. Il ajoute que les procédures de séparation et de divorce ont été ouvertes par son ex-épouse. Finalement, il relève que les époux ont rencontré des difficultés après leur voyage commun en automne 2017, moment à partir duquel ils ont pris conscience de leurs difficultés. Dans son courrier du 14 juin 2023, le recourant allègue au surplus avoir découvert, vers la fin de l'année 2017, la relation extraconjugale de son ex-épouse. Selon lui, ce point constituerait un évènement extraordinaire ayant conduit à la rupture de leur union conjugale.</w:t>
      </w:r>
    </w:p>
    <w:p>
      <w:r>
        <w:rPr>
          <w:b/>
        </w:rPr>
        <w:t>E. 8.2</w:t>
      </w:r>
    </w:p>
    <w:p>
      <w:r>
        <w:t>En ce qui concerne les faits, prétendument pertinents, invoqués par le recourant, il sied de souligner que la naissance de deux enfants, les voyages communs du couple (en 2010 et 2013) et la durée du mariage importent peu. En effet, lorsque la présomption jurisprudentielle s'applique, il y a lieu uniquement de démontrer qu'un évènement extraordinaire a rompu le lien conjugal ou que les époux n'étaient pas conscients, au moment de la signature de la déclaration commune, de la gravité de leurs problèmes ayant conduit à leur séparation. Dans la mesure où les faits relevés par le recourant sont antérieurs non seulement à la déclaration de commune mais également à la décision de naturalisation facilitée, ils ne sont pas pertinents. Enfin, la question de savoir lequel des époux a initié la séparation, respectivement le divorce, n'a aucune incidence sur l'issue de la procédure (cf. notamment cf. arrêts 1C_23/2019 du 3 avril 2019 consid. 3.4 ; TF 1C_762/2021 du 1er mars 2022 consid. 5.5).</w:t>
      </w:r>
    </w:p>
    <w:p>
      <w:r>
        <w:rPr>
          <w:b/>
        </w:rPr>
        <w:t>E. 8.3</w:t>
      </w:r>
    </w:p>
    <w:p>
      <w:r>
        <w:t>Le recourant fait ensuite valoir les vacances communes en 2017 pour tenter de démontrer la stabilité du couple au moment de la déclaration de vie commune, respectivement au moment du prononcé de la décision de naturalisation facilitée. Il est reconnu que, selon l'expérience générale de la vie et le cours ordinaire des choses, les éventuelles difficultés pouvant surgir entre époux après plusieurs années de vie commune dans une communauté conjugale intacte et orientée vers l'avenir (seule jugée digne de protection par le législateur fédéral) ne sauraient en principe entraîner la désunion qu'au terme d'un processus prolongé de dégradation des rapports conjugaux, généralement entrecoupé de tentatives de réconciliation (cf. arrêt du TF 1C_270/2018 du 6 novembre 2018 consid. 3.4). Il est, en particulier, inconcevable, dans un couple uni dont l'union a duré plusieurs années comme dans le cas d'espèce, et a été envisagée par chacun des époux comme une communauté de destins, que les époux,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 (cf. arrêts du TF 1C_10/2021 du 20 juillet 2021 consid. 4.3 ; 1C_587/2013 du 29 août 2013 consid. 3.4). Le Tribunal considère que les vacances communes du couple en 2017 ne sont pas susceptibles de renverser la présomption de fait, autrement dit ne démontrent pas qu'au moment de la déclaration de vie commune le couple vivait dans une union stable et était dirigé vers l'avenir (cf. supra consid. 5.3). En effet, comme mentionné ci-dessus, une union de longue durée, stable et orientée vers l'avenir ne se rompt pas dans un court laps de temps et en particulier, sans procéder à une tentative de conciliation. Or, il ne ressort pas du dossier que les époux aient entrepris des démarches pour résoudre les problèmes au sein de leur couple avant d'envisager une séparation définitive.</w:t>
      </w:r>
    </w:p>
    <w:p>
      <w:r>
        <w:rPr>
          <w:b/>
        </w:rPr>
        <w:t>E. 8.4</w:t>
      </w:r>
    </w:p>
    <w:p>
      <w:r>
        <w:t>En ce qui concerne l'infidélité de l'ex-épouse du recourant que celui-ci a invoquée en tant qu'évènement extraordinaire, le Tribunal rappelle que l'administré a l'obligation de collaborer à l'établissement des faits (art. 13 PA ; ATF 135 II 161 consid. 3), ce d'autant plus que lorsqu'il s'agit des faits qui se rapportent à sa situation personnelle, ceux qu'elle connaît mieux que les autorités ou encore ceux qui, sans sa collaboration, ne pourraient pas être collectés moyennant un effort raisonnable (cf. ATF 130 II 482 consid. 3.2). En l'espèce, le Tribunal constate que le recourant s'est déterminé à trois reprises sur l'ouverture de la procédure d'annulation de la naturalisation facilitée devant le SEM. Toutefois, il n'a jamais fait mention de l'infidélité de son ex-épouse. De même, dans le cadre de la procédure de recours devant le Tribunal, il n'a relevé ce point qu'après le dépôt de la duplique du SEM. Le Tribunal relève en outre que cet allégué ne ressort ni des pièces relatives à la séparation et au divorce du couple, ni du procès-verbal d'audition de l'ex-épouse du recourant, d'autant moins que cette dernière a déclaré qu'aucun évènement extraordinaire n'était intervenu après la naturalisation du recourant, « à part le ras-le-bol et la mésentente conjugale ». Au surplus, hormis une lettre rédigée par le recourant, ce dernier n'a produit aucune pièce à l'appui de son allégation, de sorte qu'elle n'est ni étayée, ni démontrée.</w:t>
      </w:r>
    </w:p>
    <w:p>
      <w:r>
        <w:rPr>
          <w:b/>
        </w:rPr>
        <w:t>E. 8.5</w:t>
      </w:r>
    </w:p>
    <w:p>
      <w:r>
        <w:t>S'agissant des arguments du SEM relatifs aux différends d'ordre financiers entre les époux en 2015, le Tribunal considère qu'ils n'ont pas d'emprise sur l'issue de la présente cause et n'ont pas à être examinés.</w:t>
      </w:r>
    </w:p>
    <w:p>
      <w:r>
        <w:rPr>
          <w:b/>
        </w:rPr>
        <w:t>E. 8.6</w:t>
      </w:r>
    </w:p>
    <w:p>
      <w:r>
        <w:t>Ainsi, force est de constater que le recourant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Le recourant n'a en outre pas apporté d'éléments concrets susceptibles de démontrer qu'il n'avait pas conscience - au moment de la signature de la déclaration de vie commune, puis lors du prononcé de la naturalisation - que la communauté conjugale alors vécue par les époux ne présentait plus l'intensité et la stabilité requises.</w:t>
      </w:r>
    </w:p>
    <w:p>
      <w:r>
        <w:rPr>
          <w:b/>
        </w:rPr>
        <w:t>E. 8.7</w:t>
      </w:r>
    </w:p>
    <w:p>
      <w:r>
        <w:t>En conséquence, il y a lieu de s'en tenir à la présomption de fait, fondée sur l'enchaînement rapide des événements survenus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rPr>
          <w:b/>
        </w:rPr>
        <w:t>E. 8.8</w:t>
      </w:r>
    </w:p>
    <w:p>
      <w:r>
        <w:t>Compte tenu de ce qui précède, et bien que le Tribunal ne remette pas en cause le fait que le couple ait eu des sentiments réciproques au cours de leur vie commune, c'est à bon droit que le SEM a retenu que le recourant avait fait, lors de la procédure de naturalisation facilitée, des déclarations mensongères, respectivement avait dissimulé des faits essentiels quant à la stabilité et l'effectivité de sa communauté conjugale.</w:t>
      </w:r>
    </w:p>
    <w:p>
      <w:r>
        <w:rPr>
          <w:b/>
        </w:rPr>
        <w:t>E. 9</w:t>
      </w:r>
    </w:p>
    <w:p>
      <w:r>
        <w:t>C'est ainsi à juste titre que le SEM a annulé, en application de l'art. 41 al. 1bis aLN, la naturalisation facilitée octroyée au recourant. Par décision du 30 novembre 2022, l'autorité inférieure n'a ainsi ni violé le droit fédéral, ni constaté des faits pertinents de manière inexacte ou incomplète ; en outre, cette décision n'est pas inopportune (cf. art. 49 PA). En conséquence, le recours doit être rejeté.</w:t>
      </w:r>
    </w:p>
    <w:p>
      <w:r>
        <w:rPr>
          <w:b/>
        </w:rPr>
        <w:t>E. 10.1</w:t>
      </w:r>
    </w:p>
    <w:p>
      <w:r>
        <w:t>Vu l'issue de la cause, il y aurait lieu de mettre les frais de procédure à la charge du recourant (art. 63 al. 1 PA et art. 1 à 3 FITAF [RS 173.320.2]). Par décision du 20 janvier 2023, le Tribunal a cependant mis le recourant au bénéfice de l'assistance judiciaire totale et a désigné Me Charlotte Gagliardi en qualité de mandataire d'office pour la présente procédure (art. 65 al. 1 et 2 PA). Il est ainsi renoncé à la perception de frais de procédure de procédure et il y a lieu d'allouer au recourant une indemnité à titre d'honoraires et de débours pour les frais indispensables et relativement élevés occasionnés par la procédure de recours (art. 8 à 11, applicables par analogie conformément à l'art. 12 FITAF). Sur ce dernier point, il y a lieu de relever que, par courrier du 24 avril 2023, la mandataire du recourant a fait parvenir au Tribunal la liste des opérations effectuées jusqu'au jour de son envoi, qu'elle a chiffrées à 2'436,97 francs, correspondant à 9,30 heures de travail à un tarif horaire de 210 francs. Le Tribunal relève que, même si le FITAF ne contient pas expressément de tarifs réduits pour les avocats commis d'office (Moser ET AL., op. cit., ch. 4.24), on ne saurait totalement perdre de vue, lors de la fixation du barème applicable au sens de l'art. 10 al. 1 FITAF que, dans le canton du Valais, le montant octroyé pour le conseil juridique commis d'office s'établit à 70% des honoraires usuels admis pour les avocats (art. 10 al. 3 de l'ordonnance du 9 juin 2010 sur l'assistance judiciaire [OAJ, RSVS 177.700] en lien avec l'art. 30 al. 1 de la loi du 11 février 2009 fixant le tarif des frais et dépens devant les autorités judiciaires ou administratives [LTar, RSVS 173.8] ; ATF 137 III 185 consid. 5.1 et la jurisprudence citée). Dans cette mesure, le tarif horaire indiqué par la mandataire du recourant apparaît approprié. En outre, le nombre d'heures invoqué semble raisonnable au vu des particularités du cas d'espèce. En conséquence, le Tribunal retient la totalité du montant réclamé par la mandataire pour les opérations effectuées jusqu'au 24 avril 2023. Le Tribunal observe pour le surplus que la mandataire du recourant n'a soumis aucun décompte pour les opérations effectuées postérieurement au 24 avril 2023 (soit les écritures des 14 juin (une page), 15 septembre (deux pages et 3 annexes), 18 septembre (une page, un ticket d'avion et trois photos) et 9 octobre 2023 (une page)). Le Tribunal constate que ces écritures ne contiennent aucun élément nouveau et consistent au surplus essentiellement en la production de pièces. Par conséquent, une indemnité totale arrondie à 2'800 francs est allouée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