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F-2606/2016 vom 7. März 2017</w:t>
      </w:r>
    </w:p>
    <w:p>
      <w:r>
        <w:t>Bundesverwaltungsgericht, 2017-03-07, DE</w:t>
      </w:r>
    </w:p>
    <w:p>
      <w:r>
        <w:rPr>
          <w:b/>
        </w:rPr>
        <w:t xml:space="preserve">Quelle: </w:t>
      </w:r>
      <w:r>
        <w:t>https://mcp.opencaselaw.ch/entscheid/bvger_F-2606_2016</w:t>
      </w:r>
    </w:p>
    <w:p>
      <w:r>
        <w:t>FR: TAF F-2606/2016 du 7 mars 2017</w:t>
      </w:r>
    </w:p>
    <w:p>
      <w:r>
        <w:t>IT: TAF F-2606/2016 del 7 marzo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und Einsprecher zur Beschwerde legitimiert (Art. 48 Abs. 1 VwVG).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irakischen Staatsangehörigen um Erteilung eines Visums für einen rund zweiwöchigen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Gesuchstellerin stammt aus Bagdad. Sie hat nach Darstellung des Beschwerdeführers den Irak infolge der dortigen Bedrohungssituation im September 2014 verlassen und hält sich seither in der Türkei auf. Sie beabsichtige, nach dem Besuch in der Schweiz in den Irak zurückzukehren, so dass für die Prognose der gesicherten Wiederausreise in erster Linie auf die dort vorherrschenden Verhältnisse abzustellen ist.</w:t>
      </w:r>
    </w:p>
    <w:p>
      <w:r>
        <w:rPr>
          <w:b/>
        </w:rPr>
        <w:t>E. 5.4</w:t>
      </w:r>
    </w:p>
    <w:p>
      <w:r>
        <w:t>Die Sicherheitslage im gesamten Irak bleibt volatil. Die Zahl der terroristischen Anschläge vor allem im Nord- und Zentralirak ist seit langem sehr hoch. Irak ist weiterhin eines der gefährlichsten Länder der Welt, derzeit noch verstärkt durch die Präsenz der Terrororganisation Islamischer Staat (IS). Durch Terroranschläge und Gewalttaten sind in den vergangenen Jahren (insbesondere 2006 und 2007) Tausende Menschen ums Leben gekommen, vor allem Zivilisten aller ethnischen und religiösen Gruppen. Gegen 3,7 Millionen Iraker befinden sich bis heute auf der Flucht, davon etwa 3,3 Millionen im eigenen Land. Die Sicherheitslage, die sich seit dem Höhepunkt der innerirakischen Gewalt in den Jahren 2006 und 2007 etwas entspannt hatte, hat sich seit 2014 erneut dramatisch verschlechtert. Dies betrifft gegenwärtig vor allem die Provinzen Anbar, Ninawa, Salah ad-Din, Diyala sowie Teile der Hauptstadt Bagdad. Es ist dort weiterhin mit schweren Anschlägen insbesondere auf irakische Sicherheitsinstitutionen und deren Angehörige, auf Ministerien, Hotels, öffentliche Plätze und religiöse Einrichtungen zu rechnen, und es besteht ein hohes Risiko von Entführungen (vgl. die Reisewarnungen des Eidgenössischen Departements für auswärtige Angelegenheiten EDA [www.eda.admin.ch &gt; Vertretungen und Reisehinweise &gt; Irak] und des Deutschen Auswärtigen Amts [www.auswaertiges-amt.de &gt; Reise und Sicherheit Reisewarnungen - Stand: 20. Januar 2017; Aussenpolitik &gt; Länderinformationen &gt; Irak Innenpolitik - Stand: November 2016], besucht im Januar 2017). Die irakische Wirtschaft basiert auf den grossen Vorkommen fossiler Brennstoffe (Öl und Erdgas). Das irakische Bruttoinlandsprodukt lag 2015 bei geschätzten 153 Milliarden Euro. Das Pro-Kopf-Bruttoinlandsprodukt betrug im Jahr 2015 etwa 4'355 Euro. Nachdem die Wirtschaftsprognose bis zum Frühjahr 2014 noch vergleichsweise gut war, haben der fallende Ölpreis und die Besetzung grosser Landesteile im Nordwesten durch den IS mittlerweile gravierende Auswirkungen auf die Wirtschaftsleistung des Landes. Die schwierige politische und wirtschaftliche Lage hat auch Auswirkungen auf Investitionen in die Infrastruktur des Landes. Dringender Investitionsbedarf besteht unter anderem im Bereich der Gesundheitsfürsorge, der Elektrizitäts- und Wasserversorgung und der Ölindustrie. Die Umsetzung vieler Projekte verläuft jedoch nur schleppend bzw. wurde ganz eingestellt (vgl. die Angaben zur irakischen Wirtschaftspolitik des Deutschen Auswärtigen Amts unter: www.auswaertiges-amt.de &gt; Aussenpolitik &gt; Länderinformationen &gt; Irak &gt; Wirtschaftspolitik; Stand: November 2016, besucht im Januar 2017).</w:t>
      </w:r>
    </w:p>
    <w:p>
      <w:r>
        <w:rPr>
          <w:b/>
        </w:rPr>
        <w:t>E. 5.5</w:t>
      </w:r>
    </w:p>
    <w:p>
      <w:r>
        <w:t>In Anbetracht dieser Umstände ist die Lage im Irak - sowohl betreffend die Sicherheitslage als auch die wirtschaftliche Situation - allgemein und besonders auch im Grossraum Bagdad nach wie vor als schwierig anzusehen (vgl. auch Urteil des BVGer C-27/2015 vom 25. Juni 2015 E. 6.1). Entsprechend hoch ist der Druck zur Migration. So gehört Irak mit 1'312 Gesuchen im Jahr 2016 (vgl. Asylstatistik des SEM 2016 unter: https://www.sem.admin.ch/sem/de/home/aktuell/news/2017/2017-01-23.html ; abgerufen im Januar 2017) nach wie vor zu den bedeutendsten Herkunftsländern von Asylsuchenden in der Schweiz. Unter Berücksichtigung, dass die Bereitschaft, das eigene Land auf Dauer zu verlassen, erfahrungsgemäss dort begünstigt wird, wo - wie hier - nahe Verwandte bereits im Ausland leben, ist grundsätzlich nicht zu beanstanden, dass die Vorinstanz das Risiko einer nicht fristgerechten Wiederausreise generell als hoch einschätzt. Dies gilt im konkreten Fall umso mehr, als die Gesuchstellerin ihr Heimatland vor rund zwei Jahren erklärtermassen wegen der dortigen Bedrohungssituation verlassen hat und bisher nicht dorthin zurückgekehrt ist.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6.1</w:t>
      </w:r>
    </w:p>
    <w:p>
      <w:r>
        <w:t>Bei der Gesuchstellerin handelt es sich den Beschwerdevorbringen nach um eine 69-jährige geschiedene (beziehungsweise verwitwete; vgl. SEM act. 3/30) Frau. Sie hat zwei erwachsene Kinder und drei Enkelkinder im Irak, welche infolge der angespannten Sicherheitslage allesamt weggezogen und nun unbekannten Aufenthalts seien. Es sind unter den geschilderten Umständen keine Unterstützungs- oder Betreuungsverpflichtungen der Gesuchstellerin ersichtlich und solche wurden auch nicht geltend gemacht. Die Vorinstanz hat demnach zu Recht festgehalten, es seien im persönlichen oder familiären Umfeld der Eingeladenen keine Verpflichtungen oder gar Abhängigkeiten vorhanden, die besondere Gewähr für eine Rückkehr ins Heimatland bieten könnten.</w:t>
      </w:r>
    </w:p>
    <w:p>
      <w:r>
        <w:rPr>
          <w:b/>
        </w:rPr>
        <w:t>E. 6.2</w:t>
      </w:r>
    </w:p>
    <w:p>
      <w:r>
        <w:t>Der Beschwerdeführer vermag aus dem Hinweis, dass seine Schwester bereits in den Jahren 1971, 1975 und 1978 in der Schweiz zu Besuch geweilt habe und jeweils fristgerecht in den Irak zurückgekehrt sei, nichts zu seinen Gunsten abzuleiten, zumal er es unterlässt darzulegen, inwiefern die damaligen persönlichen Umstände mit den heutigen (vgl. Ziff. 5.5 und 6.1) vergleichbar sein sollen. Von einer irgendwie gearteten Vergleichbarkeit in den Verhältnissen kann denn auch nicht ausgegangen werden. So war die Gesuchstellerin bei den früheren Besuchen im Alter zwischen 24 und 31 Jahren und hatte vermutungsweise als Mutter oder zumindest Ehefrau im Heimatland familiäre Verpflichtungen. Tritt hinzu, dass sie damals im Irak lebte und dort kein Krieg oder sonstige soziale Unruhen herrschten.</w:t>
      </w:r>
    </w:p>
    <w:p>
      <w:r>
        <w:rPr>
          <w:b/>
        </w:rPr>
        <w:t>E. 6.3</w:t>
      </w:r>
    </w:p>
    <w:p>
      <w:r>
        <w:t>Im Vordergrund steht, dass die Gesuchstellerin den Irak im Herbst 2014 aufgrund der dort herrschenden schwierigen Verhältnisse verlassen hat und sich seither in der Türkei aufhält. Aus den Schilderungen des Beschwerdeführers zu schliessen, lebt sie dort aktuell in Ankara alleine in einem gemieteten Zimmer. Weshalb sie nun nach einem Besuchsaufenthalt in der Schweiz direkt in den Irak zurückkehren sollte, erschliesst sich dem Bundesverwaltungsgericht nicht. Zwar wird behauptet, sie gehe sonst ihres Hauses und ihrer Rente verlustig. Diese (nicht weiter belegten) Gefahren dürften aber - sofern sie reell sein sollten - nicht in einem Zusammenhang mit dem angestrebten Besuch in der Schweiz stehen. Tatsache ist, dass sich die Sicherheitslage in Bagdad in der letzten Zeit nicht speziell entspannt haben dürfte. Tatsache ist aber auch, dass nach einem dreimonatigen Aufenthalt in der Schweiz selbst eine Rückkehr in die Türkei nicht als ohne weiteres möglich erachtet werden könnte.</w:t>
      </w:r>
    </w:p>
    <w:p>
      <w:r>
        <w:rPr>
          <w:b/>
        </w:rPr>
        <w:t>E. 6.4</w:t>
      </w:r>
    </w:p>
    <w:p>
      <w:r>
        <w:t>Vor dem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zusichert. In seiner Eigenschaft als Gastgeber kann er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seines Gastes (vgl. BVGE 2009/27 E. 9).</w:t>
      </w:r>
    </w:p>
    <w:p>
      <w:r>
        <w:rPr>
          <w:b/>
        </w:rPr>
        <w:t>E. 6.5</w:t>
      </w:r>
    </w:p>
    <w:p>
      <w:r>
        <w:t>Ist die Wiederausreise solchermassen nicht als gesichert zu betrachten, darf nach dem bereits Gesagten ein Visum für den gesamten Schengen-Raum nicht erteilt werden. Gründe für die Erteilung eines Visums mit räumlich beschränkter Gültigkeit (vgl. dazu Erwägung 4.5 vorstehend) sind nicht ersichtlich. Die Gesuchstellerin hält sich zwar seit über zwei Jahren ausserhalb ihres Heimatlandes in der Türkei auf, lebt dort aber offensichtlich wirtschaftlich unabhängig und hat eine Aufenthaltsbewilligung. Eine zwangsweise Rückschaffung gegen ihren Willen in den Irak droht allem Anschein nach nicht. Der Beschwerdeführer verwies zwar wiederholt auf sein fortgeschrittenes Alter und dasjenige der Gesuchstellerin, um das Interesse an einer baldigen Zusammenkunft in der Schweiz zu betonen. Demgegenüber ist nicht erstellt, dass eine solche Zusammenkunft nur noch in der Schweiz verwirklicht werden könnte.</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