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F-2580/2025 vom 26. März 2025</w:t>
      </w:r>
    </w:p>
    <w:p>
      <w:r>
        <w:t>Bundesverwaltungsgericht, 2025-03-26, DE</w:t>
      </w:r>
    </w:p>
    <w:p>
      <w:r>
        <w:rPr>
          <w:b/>
        </w:rPr>
        <w:t xml:space="preserve">Quelle: </w:t>
      </w:r>
      <w:r>
        <w:t>https://mcp.opencaselaw.ch/entscheid/bvger_F-2580_2025_d20250326</w:t>
      </w:r>
    </w:p>
    <w:p>
      <w:r>
        <w:t>FR: TAF F-2580/2025 du 26 mars 2025</w:t>
      </w:r>
    </w:p>
    <w:p>
      <w:r>
        <w:t>IT: TAF F-2580/2025 del 26 marzo 2025</w:t>
      </w:r>
    </w:p>
    <w:p>
      <w:pPr>
        <w:pStyle w:val="Heading2"/>
      </w:pPr>
      <w:r>
        <w:t>Regeste</w:t>
      </w:r>
    </w:p>
    <w:p>
      <w:r>
        <w:t>Schengen-Visum | Schengen-Visum; Verfügung des SEM vom 26. März 2025</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t>F-2580/2025 Seite 3</w:t>
      </w:r>
    </w:p>
    <w:p>
      <w:r>
        <w:rPr>
          <w:b/>
        </w:rPr>
        <w:t>E. 1.2</w:t>
      </w:r>
    </w:p>
    <w:p>
      <w:r>
        <w:t>Der Beschwerdeführer ist in seiner Rolle als Gastgeber gemäss bishe- riger Praxis zur Beschwerde legitimiert (Art. 48 Abs. 1 VwVG; siehe ein- lässlich zur neuen Praxis in Bezug auf die Beschwerdelegitimation des Gastgebers Urteil des BVGer F-2397/2024 vom 11. April 2025 [zur Publi- kation vorgesehen], welche pro futuro bei neuen Beschwerden Platz grei- fen wird). Auf die frist- und formgerecht eingereichte Beschwerde ist einzu- 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w:t>
      </w:r>
    </w:p>
    <w:p>
      <w:r>
        <w:t>Der angefochtenen Verfügung liegen vier Gesuche sri-lankischer Staats- angehöriger um Erteilung von Visa zu Besuchszwecken in der Schweiz zu- grunde. Da sich die Gesuchstellenden als Drittstaatangehörige nicht auf die EU/EFTA-Personenfreizügigkeitsabkommen berufen können und die beabsichtigte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w:t>
      </w:r>
    </w:p>
    <w:p>
      <w:r>
        <w:t>F-2580/2025 Seite 4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w:t>
      </w:r>
    </w:p>
    <w:p>
      <w:r>
        <w:t>F-2580/2025 Seite 5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4.5</w:t>
      </w:r>
    </w:p>
    <w:p>
      <w:r>
        <w:t>Aufgrund ihrer sri-lankischen Staatsangehörigkeit unterliegen die Ge- suchstellenden der Visumspflicht (vgl. Art. 8 Abs. 1 VEV i.V.m. Anhang I EU-Visa-VO; Art. 6 Abs. 1 Bst. b SGK).</w:t>
      </w:r>
    </w:p>
    <w:p>
      <w:r>
        <w:rPr>
          <w:b/>
        </w:rPr>
        <w:t>E. 5</w:t>
      </w:r>
    </w:p>
    <w:p>
      <w:r>
        <w:t>Strittig und zu prüfen ist, ob die Gesuchstellenden hinreichend Gewähr für eine fristgerechte Wiederausreise aus dem Schengen-Raum (Art. 32 Abs. 1 Bst. b VK) bieten.</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t>F-2580/2025 Seite 6 Sri Lanka leidet an einer Wirtschafts- und Finanzkrise. Im ganzen Land besteht die Gefahr von gewaltsamen Ausschreitungen, Streiks und Versor- gungsengpässen (vgl. Urteile des BVGer F-6378/2023 vom 25. November 2024 E. 5.2; F-5294/2023 vom 18. November 2024 E. 5.2; F-804/2024 vom 15. Oktober 2024 E. 4.2; F-4154/2023 vom 5. Juni 2024 E. 4.2). Vor diesem Hintergrund ist nicht zu beanstanden, dass die Vorinstanz das Risiko einer nicht fristgerechten Ausreise von gesuchstellenden Personen aus Sri Lanka allgemein als hoch einschätzt.</w:t>
      </w:r>
    </w:p>
    <w:p>
      <w:r>
        <w:rPr>
          <w:b/>
        </w:rPr>
        <w:t>E. 5.2</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5.3</w:t>
      </w:r>
    </w:p>
    <w:p>
      <w:r>
        <w:t>Den Akten zufolge handelt es sich beim Gesuchsteller 1 um einen 51-jährigen Mann, der zusammen mit seiner 49-jährigen Ehefrau (Gesuch- stellerin 2) sowie seinem 19-jährigen Sohn (Gesuchsteller 3) und seiner 15-jährigen Tochter (Gesuchstellerin 4) an gleicher Adresse in Jaffna, einer Stadt im Norden des Landes, wohnt. Eine Schwester des Gesuchstellers 1 lebt in der Schweiz (Gastgeberin resp. Ehefrau des Beschwerdeführers). Aussagegemäss verfügt er über weitere Schwestern in Kanada und Aust- ralien. Insofern er als familiäre Verpflichtungen die Pflege seines 88-jähri- gen Vaters geltend macht, ist zu erwähnen, dass aus den Akten in keiner Weise ersichtlich ist, ob, und, wenn ja, in welchem Umfang eine allfällige Pflege alleine dem Gesuchsteller 1 obliegen würde. Hinzu kommt, dass gemäss dem Gesuchsteller 1 sowohl die Eltern seiner Ehefrau wie auch seine eigene Mutter bereits verstorben sind. Zu einer allfälligen familiären Bindung in Sri Lanka ist anzumerken, dass in casu die gesamte Kernfamilie in die Schweiz mitreisen würde. Das Vorhandensein eines potentiell ent- scheidwesentlichen familiären Beziehungsnetzes in Sri Lanka ist vor die- sem Hintergrund zu verneinen. Über das übliche Mass hinausgehende Verpflichtungen oder gar Abhängigkeiten im engeren familiären oder per- sönlichen Umfeld, die besondere Gewähr für eine Rückkehr nach Sri Lanka bieten könnten, sind damit nicht erstellt. Das Emigrationsrisiko ist schliess- lich erhöht, wenn – wie im hier zu beurteilenden Fall – durch die Anwesen- heit von Verwandten (vorliegend Schwester, Schwägerin bzw. Tante und</w:t>
      </w:r>
    </w:p>
    <w:p>
      <w:r>
        <w:t>F-2580/2025 Seite 7 deren Ehemann), bereits ein familiäres Beziehungsnetz in der Schweiz be- steht (vgl. BVGE 2014/1 E. 6.2.2; jüngst Urteil des BVGer F-2105/2025 vom 5. Mai 2025 E. 4.3).</w:t>
      </w:r>
    </w:p>
    <w:p>
      <w:r>
        <w:rPr>
          <w:b/>
        </w:rPr>
        <w:t>E. 5.4</w:t>
      </w:r>
    </w:p>
    <w:p>
      <w:r>
        <w:t>Auch unter Berücksichtigung der Anstellung der Gesuchstellerin 2 beim (…) respektive der Anstellung des Gesuchstellers 1 als «HR Business Part- ner» bei der (…) sind vorliegend keine besonderen beruflichen Verpflich- tungen ersichtlich, welche für eine fristgerechte Wiederausreise hinrei- chend Gewähr böten. Lautend auf Gesuchstellerin 2 liegt mit Datum vom 11. Januar 2024 zwar ein Zertifikat «Master of Arts in Teaching English as a Second Language» vor, aber es gehen aus der Bestätigung vom 25. Ok- tober 2024, welche der Gesuchstellerin 2 ein Anstellungsverhältnis bei der vorgenannten Institution seit dem 6. Januar 2014 bescheinigt, keinerlei An- gaben zu einem verpflichtenden Arbeitspensum respektive zu einem kon- kreten Tätigkeitsbereich hervor. Hinsichtlich der Erwerbstätigkeit des Ge- suchstellers 1 ist zudem festzustellen, dass gemäss einem Vorsorgeaus- zug vom 17. Januar 2025 zuletzt Ende Juni 2024 – vor nunmehr circa ei- nem Jahr – Gutschriften auf das Vorsorgekonto erfolgt sind, was gewisse Zweifel am Fortbestehen der Anstellung aufkommen lässt und damit ten- denziell gegen eine hinreichend gesicherte Wiederausreise spräche.</w:t>
      </w:r>
    </w:p>
    <w:p>
      <w:r>
        <w:rPr>
          <w:b/>
        </w:rPr>
        <w:t>E. 5.5</w:t>
      </w:r>
    </w:p>
    <w:p>
      <w:r>
        <w:t>In Bezug auf die geltend gemachten Vermögenswerte der Gesuchstel- lenden (Bankkonten, Immobilien) gilt es ferner zu berücksichtigen, dass Grundeigentum und andere Vermögenswerte bei einer Emigration nicht zwingend verloren gehen (vgl. BVGE 2014/1 E. 6.3.6 m.H.), zumal es sich um ein eigenes Prüfkriterium handelt, welches die fehlende Gewähr für eine – wie vorliegend – ohnehin nicht hinreichend gesicherte Wiederaus- reise nicht aufzuwiegen vermag (vgl. Art. 14 Abs. 1 Bst. d und Art. 21 Abs. 1 VK sowie Art. 5 Abs. 2 AIG [in Bezug auf das Kriterium der gesicherten Wiederausreise] und Art. 21 Abs. 1 und Abs. 5 VK i.V.m. Art. 6 Abs. 1 Bst. c SGK [hinsichtlich ausreichender finanzieller Mittel für den Aufenthalt]).</w:t>
      </w:r>
    </w:p>
    <w:p>
      <w:r>
        <w:rPr>
          <w:b/>
        </w:rPr>
        <w:t>E. 5.6</w:t>
      </w:r>
    </w:p>
    <w:p>
      <w:r>
        <w:t>Schliesslich vermögen die Gesuchstellenden aus dem Umstand, dass der Gesuchsteller 1 gemäss eigenen Angaben 2024 bereits ein Visum für Kanada erhalten haben will, nichts zu ihren Gunsten abzuleiten, da diese Behauptung gänzlich unbelegt bleibt und es sich bei Kanada nicht um ei- nen Schengen-Staat handelt, dort mitunter andere Regeln zwecks Visa- vergabe zur Anwendung gelangen. Ebenso wenig vermag die Zusicherung einer fristgerechten Ausreise durch den Beschwerdeführer etwas daran än- dern, dass die Gesuchstellenden keine hinreichende Gewähr für ihre frist- gerechte Wiederausreise aus dem Schengen-Raum zu bieten vermögen.</w:t>
      </w:r>
    </w:p>
    <w:p>
      <w:r>
        <w:t>F-2580/2025 Seite 8 Zwar können Gastgeber und Garanten mit rechtlich verbindlicher Wirkung für gewisse finanzielle Risiken im Zusammenhang mit einem Besuchsauf- enthalt, nicht aber für ein bestimmtes Verhalten der eingeladenen Perso- nen einstehen (vgl. BVGE 2014/1 E. 6.3.7 und BVGE 2009/27 E. 9).</w:t>
      </w:r>
    </w:p>
    <w:p>
      <w:r>
        <w:rPr>
          <w:b/>
        </w:rPr>
        <w:t>E. 6</w:t>
      </w:r>
    </w:p>
    <w:p>
      <w:r>
        <w:t>Im Ergebnis hat die Vorinstanz die nachgesuchten Visa für den Schengen- Raum zwecks Besuchsaufenthalt bei den in der Schweiz lebenden Ver- wandten zu Recht verweigert. Gründe humanitärer oder anderer Art, wel- che die Erteilung eines Visums mit räumlich beschränkter Gültigkeit allen- falls zu rechtfertigen vermöchten (siehe E. 4.4 hiervor), wurden weder gel- tend gemacht noch sind solche ersichtlich. Die angefochtene Verfügung erweist sich als rechtmässig (Art. 49 VwVG). Die Beschwerde ist abzuwei- 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F-2580/2025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