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F-2576/2024 vom 16. April 2024</w:t>
      </w:r>
    </w:p>
    <w:p>
      <w:r>
        <w:t>Bundesverwaltungsgericht, 2024-04-16, DE</w:t>
      </w:r>
    </w:p>
    <w:p>
      <w:r>
        <w:rPr>
          <w:b/>
        </w:rPr>
        <w:t xml:space="preserve">Quelle: </w:t>
      </w:r>
      <w:r>
        <w:t>https://mcp.opencaselaw.ch/entscheid/bvger_F-2576_2024_d20240416</w:t>
      </w:r>
    </w:p>
    <w:p>
      <w:r>
        <w:t>FR: TAF F-2576/2024 du 16 avril 2024</w:t>
      </w:r>
    </w:p>
    <w:p>
      <w:r>
        <w:t>IT: TAF F-2576/2024 del 16 aprile 2024</w:t>
      </w:r>
    </w:p>
    <w:p>
      <w:pPr>
        <w:pStyle w:val="Heading2"/>
      </w:pPr>
      <w:r>
        <w:t>Regeste</w:t>
      </w:r>
    </w:p>
    <w:p>
      <w:r>
        <w:t>Schengen-Visum | Schengen-Visum; Verfügung des SEM vom 16. April 2024</w:t>
      </w:r>
    </w:p>
    <w:p>
      <w:pPr>
        <w:pStyle w:val="Heading2"/>
      </w:pPr>
      <w:r>
        <w:t>Erwägungen</w:t>
      </w:r>
    </w:p>
    <w:p>
      <w:r>
        <w:rPr>
          <w:b/>
        </w:rPr>
        <w:t>E. 1.1</w:t>
      </w:r>
    </w:p>
    <w:p>
      <w:r>
        <w:t>Einspracheentscheide des SEM betreffend Schengen-Visa unterliegen der Beschwerde an das Bundesverwaltungsgericht (Art. 31 ff. VGG i.V.m. Art. 5 VwVG).</w:t>
      </w:r>
    </w:p>
    <w:p>
      <w:r>
        <w:rPr>
          <w:b/>
        </w:rPr>
        <w:t>E. 1.2</w:t>
      </w:r>
    </w:p>
    <w:p>
      <w:r>
        <w:t>Das Rechtsmittelverfahren richtet sich nach dem VwVG, soweit das VGG nichts anderes bestimmt (Art. 37 VGG).</w:t>
      </w:r>
    </w:p>
    <w:p>
      <w:r>
        <w:t>F-2576/2024 Seite 3</w:t>
      </w:r>
    </w:p>
    <w:p>
      <w:r>
        <w:rPr>
          <w:b/>
        </w:rPr>
        <w:t>E. 1.3</w:t>
      </w:r>
    </w:p>
    <w:p>
      <w:r>
        <w:t>Obwohl der auf Beschwerdeebene geltend gemachte Besuchszeit- raum (80 Tage vom 25. Mai bis 6. August 2024) inzwischen grösstenteils verstrichen ist, kann – nicht zuletzt angesichts der Einreichung des Rechts- mittels – auf ein fortbestehendes Rechtsschutzinteresse geschlossen wer- den. Der Beschwerdeführer ist zur Beschwerde legitimiert (vgl. Art. 48 Abs. 1 VwVG). Auf die frist- und formgerecht eingereichte Beschwerde ist einzutreten (vgl. Art. 50 Abs. 1 und Art. 52 Abs. 1 VwVG).</w:t>
      </w:r>
    </w:p>
    <w:p>
      <w:r>
        <w:rPr>
          <w:b/>
        </w:rPr>
        <w:t>E. 2</w:t>
      </w:r>
    </w:p>
    <w:p>
      <w:r>
        <w:t>Die Beschwerde erweist sich, wie nachfolgend zu zeigen sein wird, als of- fensichtlich unbegründet, weshalb auf die Durchführung eines Schriften- wechsels verzichtet wurde (Art. 57 Abs. 1 VwVG e contrario).</w:t>
      </w:r>
    </w:p>
    <w:p>
      <w:r>
        <w:rPr>
          <w:b/>
        </w:rPr>
        <w:t>E. 3</w:t>
      </w:r>
    </w:p>
    <w:p>
      <w:r>
        <w:t>Mit Beschwerde an das Bundesverwaltungsgericht können die Verletzung von Bundesrecht einschliesslich Überschreitung oder Missbrauch des Er- messens, die unrichtige oder unvollständige Feststellung des rechtserheb- lichen Sachverhalts und – sofern wie vorliegend nicht eine kantonale Be- hörde als Beschwerdeinstanz verfügt hat – die Unangemessenheit gerügt werden (Art. 49 VwVG). Das Bundesverwaltungsgericht wendet im Be- schwerdeverfahren das Bundesrecht von Amtes wegen an. Es ist gemäss Art. 62 Abs. 4 VwVG nicht an die Begründung der Begehren gebunden und kann die Beschwerde auch aus anderen als den geltend gemachten Grün- den gutheissen oder abweisen. Massgebend ist grundsätzlich die Sach- lage im Zeitpunkt seines Entscheids (vgl. BVGE 2020 VII/4 E. 2.2 m.H.).</w:t>
      </w:r>
    </w:p>
    <w:p>
      <w:r>
        <w:rPr>
          <w:b/>
        </w:rPr>
        <w:t>E. 4.1</w:t>
      </w:r>
    </w:p>
    <w:p>
      <w:r>
        <w:t>Dem angefochtenen Entscheid liegt das Gesuch einer pakistanischen Staatsangehörigen um Erteilung eines Visums zu Besuchszwecken für die Schweiz zugrunde. Da sie sich als sogenannte Drittstaatsangehörige nicht aus eigenem und vorliegend auch nicht aus abgeleitetem Recht auf die EU/EFTA-Personenfreizügigkeitsabkommen berufen kann und die beab- sichtigte Aufenthaltsdauer 90 Tage innerhalb eines Zeitraums von 180 Ta- gen nicht überschreitet (80 Tage, vom 25. Mai 2024 bis 6. August 2024), fällt die vorliegende Streitsache in den persönlichen und sachlichen An- wendungsbereich der Schengen-Assoziierungsabkommen (aufgeführt im Anhang I Ziff. 1 des AIG [SR 142.20]), mit denen die Schweiz den Schen- gen-Besitzstand sowie die dazugehörigen gemeinschaftsrechtlichen Rechtsakte (nachfolgend: Schengen-Recht) übernommen hat. Das AIG und seine Ausführungsbestimmungen, in casu namentlich die VEV, gelan- gen nur soweit zur Anwendung, als die Schengen-</w:t>
      </w:r>
    </w:p>
    <w:p>
      <w:r>
        <w:t>F-2576/2024 Seite 4 Assoziierungsabkommen keine abweichenden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 September 2009), die Verordnung (EG) Nr. 2016/399 des Europä- ischen Parlaments und des Rates vom 9. März 2016 über einen Gemein- schaftskodex für das Überschreiten der Grenzen durch Personen (kodifi- zierter Text) (Schengener Grenzkodex, SGK, Abl. L 77/1 vom 23. März 2016) und die Verordnung (EU) 2018/1806 des Europäischen Parlaments und des Rates vom 14. November 2018 zur Aufstellung der Liste der Dritt- länder, deren Staatsangehörige beim Überschreiten der Aussengrenzen im Besitz eines Visums sein müssen, sowie die Liste der Drittländer, deren Staatsangehörige von dieser Visumpflicht befreit sind (kodifizierter Text) (nachfolgend: Verordnung [EU] 2018/1806, ABl. L 303/39 vom 28. Novem- ber 2018). In ihrem Anwendungsbereich regeln sie umfassend die Visum- pflicht, die Visumvergabe und die Einreise in das Hoheitsgebiet der durch das Schengen-Recht gebundenen Staaten (nachfolgend: Mitgliedstaaten).</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w:t>
      </w:r>
    </w:p>
    <w:p>
      <w:r>
        <w:t>F-2576/2024 Seite 5 überprüfen,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5.4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6.1</w:t>
      </w:r>
    </w:p>
    <w:p>
      <w:r>
        <w:t>Pakistanische Staatsangehörige in der Situation der Gesuchstellerin unterstehen der Visumspflicht (Art. 3 Abs. 1 der Verordnung [EU] 2018/1806 i.V.m. deren Anhang I Ziff. 1). Die Erteilung eines Visums wurde ihr von der Vorinstanz auf Einsprache hin verweigert, weil keine hinreichen- den Gründe für eine fristgerechte und anstandslose Wiederausreise be- stünden.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t>F-2576/2024 Seite 6</w:t>
      </w:r>
    </w:p>
    <w:p>
      <w:r>
        <w:rPr>
          <w:b/>
        </w:rPr>
        <w:t>E. 6.2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häufig nicht mit dem Ziel und Zweck einer zeitlich befristeten Einreisebewilligung im Einklang steht. Der zuständigen Behörde kommt dabei ein erheblicher Beurteilungsspielraum zu (vgl. BVGE 2014/1 E. 6.1 m.H.; ferner statt vieler Urteile des BVGer F-4403/2023 vom 21. März 2024 E. 5.2; F-5322/2022 vom 9. Juni 2023; F-1826/2022 vom 24. Mai 2023 E. 6.1; F-1086/2020 vom 23. Februar 2021 E. 4.1; F-2881/2018 vom 24. Januar 2019 E. 6; vgl. auch Urteil Koushkaki Rn. 56–63).</w:t>
      </w:r>
    </w:p>
    <w:p>
      <w:r>
        <w:rPr>
          <w:b/>
        </w:rPr>
        <w:t>E. 6.3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 Zudem kann ein im Zielland Schweiz bestehendes familiäres oder soziales Beziehungsnetz den Ent- scheid, dorthin auszuwandern, erleichtern – insbesondere, wenn es gleich- zeitig im Aufenthaltsstaat an einem entsprechenden Netz fehlt (Urteil des BVGer F-2974/2023 vom 29. Februar 2024 E. 8.1).</w:t>
      </w:r>
    </w:p>
    <w:p>
      <w:r>
        <w:t>F-2576/2024 Seite 7</w:t>
      </w:r>
    </w:p>
    <w:p>
      <w:r>
        <w:rPr>
          <w:b/>
        </w:rPr>
        <w:t>E. 7.1</w:t>
      </w:r>
    </w:p>
    <w:p>
      <w:r>
        <w:t>Die Gesuchstellerin wohnt in Sialkot, einer südostpakistanischen Stadt in der Provinz Punjab unweit der Grenze zu Indien.</w:t>
      </w:r>
    </w:p>
    <w:p>
      <w:r>
        <w:rPr>
          <w:b/>
        </w:rPr>
        <w:t>E. 7.2</w:t>
      </w:r>
    </w:p>
    <w:p>
      <w:r>
        <w:t>Betreffend die allgemeinen Verhältnisse in Pakistan ist in wirtschaftli- cher Hinsicht festzuhalten, dass Pakistan auf dem durch das Entwicklungs- programm der Vereinten Nationen im Sinne eines Wohlstandsindikators er- stellten Index der menschlichen Entwicklung (HDI) 2023/2024 Platz 164 von 191 gelisteten Staaten belegt. 21,5 % der Bevölkerung lebt in schwerer mehrdimensionaler Armut (vgl. https://hdr.undp.org/, Human Development Report 2023-24, S. 276 und 298; abgerufen am 8. Juli 2024). Das starke Bevölkerungswachstum, eine schwache öffentliche Verwaltung, die derzei- tige Wirtschafts- und Finanzkrise, Defizite im Menschenrechtsschutz sowie eine hohe Anfälligkeit für die Folgen des Klimawandels stellen das Land vor grosse strukturelle Herausforderungen (vgl. &lt; https://www.bmz.de &gt; Länder &gt; Pakistan, abgerufen am 8. Juli 2024). Es bestehen hohe politi- sche und soziale Spannungen sowie Spannungen zwischen verschiede- nen muslimischen Glaubensrichtungen und zwischen extremistischen reli- giösen Gruppierungen und dem Staat. Politisch-religiös motivierte Gewalt- taten und Unruhen können jederzeit unvermittelt ausbrechen und trotz er- höhter Sicherheitsmassnahmen besteht jederzeit das Risiko von terroristi- schen Attacken im ganzen Land. Von Reisen in die gesamte Grenzregion zu Indien wird abgeraten (vgl. dazu www.eda.admin.ch, Reisehinweise und Vertretungen &gt; Pakistan &gt; Reisehinweise für Pakistan, abgerufen am</w:t>
      </w:r>
    </w:p>
    <w:p>
      <w:r>
        <w:rPr>
          <w:b/>
        </w:rPr>
        <w:t>E. 7.3</w:t>
      </w:r>
    </w:p>
    <w:p>
      <w:r>
        <w:t>Vor diesem Hintergrund ist nicht zu beanstanden, dass die Vorinstanz das allgemeine Risiko einer nicht fristgerechten Wiederausreise von Besu- chern aus Pakistan grundsätzlich als hoch einschätzt. In Bezug auf die konkreten Lebensumstände der gesuchstellenden Person rechtfertigt sich daher ein strenger Massstab (vgl. E. 6.3).</w:t>
      </w:r>
    </w:p>
    <w:p>
      <w:r>
        <w:rPr>
          <w:b/>
        </w:rPr>
        <w:t>E. 7.4</w:t>
      </w:r>
    </w:p>
    <w:p>
      <w:r>
        <w:t>Bezüglich der persönlichen Situation der Gesuchstellerin ist den Akten zu entnehmen, dass es sich bei ihr um die 80-jährige, verwitwete und pen- sionierte Mutter des Beschwerdeführers handelt, wobei dieses Verwandt- schaftsverhältnis nicht belegt worden ist. Zudem hat der Beschwerdeführer in diesem Zusammenhang widersprüchliche Angaben gemacht, indem er in seiner Stellungnahme vom 15. März 2023 (SEM-act. 5) ausführte, der Ehegatte der Mutter bzw. sein Vater lebe auch in Pakistan, dann aber in seiner Beschwerde vom 25. April 2024 (BVGer-act. 1) übereinstimmend mit den Angaben der Gesuchstellerin im Gesuchsformular (SEM-act. 2</w:t>
      </w:r>
    </w:p>
    <w:p>
      <w:r>
        <w:t>F-2576/2024 Seite 8 pag. 26) und nach Konfrontation mit diesem Widerspruch im Einsprache- entscheid des SEM angab, seine Mutter sei verwitwet. Es sei ihm ein Feh- ler unterlaufen, den er nicht bemerkt habe.</w:t>
      </w:r>
    </w:p>
    <w:p>
      <w:r>
        <w:rPr>
          <w:b/>
        </w:rPr>
        <w:t>E. 7.5</w:t>
      </w:r>
    </w:p>
    <w:p>
      <w:r>
        <w:t>In familiärer und sozialer Hinsicht wird vorgebracht, die Gesuchstellerin habe ein grosses soziales Netzwerk und helfe Hilfsbedürftigen vor Ort. Weitere Kinder und Geschwister der Gesuchstellerin würden in Pakistan leben, sie lebe mit einem ihrer Söhne und erhalte ein Einkommen aus des- sen Immobiliengeschäft (BVGer-act. 1). Der Beschwerdeführer lebe mit seiner Familie in der Schweiz, gleiches treffe auf seinen Bruder zu und auch die Familie eines weiteren, verstorbenen Bruders wohne hier (SEM-act. 5). Weitere substantiierte Angaben zum familiären und/oder so- zialen Hintergrund der Gesuchstellerin in Pakistan wurden nicht gemacht. Damit sind keine besonderen gesellschaftlichen oder familiären Verpflich- tungen erkennbar, welche die Gesuchstellerin von einer Emigration abhal- ten könnten. Mit ihren Söhnen und deren Familien in der Schweiz verfügt die Gesuchstellerin darüber hinaus bereits über ein gewisses familiäres Beziehungsnetz in der Schweiz, welches demjenigen in Pakistan zumin- dest gleichkommt, womit sich das Emigrationsrisiko entsprechend erhöht.</w:t>
      </w:r>
    </w:p>
    <w:p>
      <w:r>
        <w:rPr>
          <w:b/>
        </w:rPr>
        <w:t>E. 7.6</w:t>
      </w:r>
    </w:p>
    <w:p>
      <w:r>
        <w:t>Auch aus ihrer beruflichen und wirtschaftlichen Situation in Pakistan kann sie nichts zu ihren Gunsten ableiten. Gemäss eigenen Angaben und Angaben des Beschwerdeführers ist sie pensioniert. Dass die Gesuchstel- lerin über Vermögen verfügt, ist nicht aktenkundig und wird auch nicht vor- gebracht. Sie habe gemäss Beschwerdeschrift kein eigenes Bankkonto, weil in Pakistan die Kinder die Eltern bis zum letzten Tag versorgen würden (BVGer-act. 1). Für das auf Beschwerdeebene vorgebrachte regelmässige Einkommen, welches die Mutter aus dem Immobiliengeschäft des Bruders in Pakistan erhalte, wurden keinerlei Nachweise eingereicht. Insgesamt ist nicht von einer beruflich-wirtschaftlichen Einbettung im Heimatland auszu- gehen, welche für eine anstandslose Wiederausreise sprechen würde.</w:t>
      </w:r>
    </w:p>
    <w:p>
      <w:r>
        <w:rPr>
          <w:b/>
        </w:rPr>
        <w:t>E. 7.7</w:t>
      </w:r>
    </w:p>
    <w:p>
      <w:r>
        <w:t>Nach dem Gesagten besteht aufgrund der allgemeinen Lage in Pakis- tan und der individuellen Situation der Gesuchstellerin keine zureichende Gewähr für eine fristgerechte Wiederausreise. Daran ändert schliesslich auch die Verpflichtungserklärung des Gastgebers bzw. Beschwerdeführers (SEM-act. 5 pag. 38) nichts. Auch wenn sein Wunsch, die Gesuchstellerin in die Schweiz einzuladen, verständlich ist, gilt es zu berücksichtigen, dass er als Gastgeber nur für gewisse finanzielle Risiken Garantie leisten kann, mangels rechtlicher und faktischer Durchsetzbarkeit jedoch nicht für ein bestimmtes Verhalten seines Gasts (vgl. BVGE 2009/27 E. 9). Dass die</w:t>
      </w:r>
    </w:p>
    <w:p>
      <w:r>
        <w:t>F-2576/2024 Seite 9 vorgebrachten Einladungen und Besuche von weiteren Familienangehöri- gen und Bekannten beim Beschwerdeführer weder substantiiert noch be- legt worden sind, ist daher bloss der Vollständigkeit halber anzumerken. Mit der fehlenden Gewähr für eine anstandslose Wiederausreise ist eine zwingende Voraussetzung für die Erteilung eines Visums nicht erfüllt. Diese Beurteilung wird in der Gesamtbetrachtung auch dadurch nicht ent- scheidend relativiert, dass die Gesuchstellerin angeblich bereits in der Ver- gangenheit in der Schweiz zu Besuch gewesen und wieder pünktlich in die Heimat zurückgereist sei. Ob dieses unbelegte Vorbringen zutrifft, kann mithin offenbleiben. Gründe für die Ausstellung eines VrG-Visums nach Art. 25 VK wurden zu Recht nicht geltend gemacht und sind auch nicht ersichtlich.</w:t>
      </w:r>
    </w:p>
    <w:p>
      <w:r>
        <w:rPr>
          <w:b/>
        </w:rPr>
        <w:t>E. 8</w:t>
      </w:r>
    </w:p>
    <w:p>
      <w:r>
        <w:t>Aus den vorstehenden Erwägungen folgt, dass die angefochtene Verfü- gung im Lichte von Art. 49 VwVG nicht zu beanstanden ist. Die Be- schwerde ist abzuweisen.</w:t>
      </w:r>
    </w:p>
    <w:p>
      <w:r>
        <w:rPr>
          <w:b/>
        </w:rPr>
        <w:t>E. 9</w:t>
      </w:r>
    </w:p>
    <w:p>
      <w:r>
        <w:t>Entsprechend dem Ausgang des Verfahrens wird der unterliegende Be- schwerdeführer kostenpflichtig (Art. 63 Abs. 1 VwVG i.V.m. Art. 1 ff. des Reglements vom 21. Februar 2008 über die Kosten und Entschädigungen vor dem Bundesverwaltungsgericht [VGKE, SR 173.320.2]). Die Verfah- renskosten von Fr. 800.– sind dem Beschwerdeführer aufzuerlegen und durch den am 8. Mai 2024 bezahlten Kostenvorschuss gedeckt.</w:t>
      </w:r>
    </w:p>
    <w:p>
      <w:r>
        <w:rPr>
          <w:b/>
        </w:rPr>
        <w:t>E. 10</w:t>
      </w:r>
    </w:p>
    <w:p>
      <w:r>
        <w:t>Dieses Urteil ist endgültig (Art. 83 Bst. c Ziff. 1 BGG).</w:t>
      </w:r>
    </w:p>
    <w:p>
      <w:r>
        <w:t>(Dispositiv nächste Seite)</w:t>
      </w:r>
    </w:p>
    <w:p>
      <w:r>
        <w:t>F-2576/2024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