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F-2575/2020 vom 28. Mai 2020</w:t>
      </w:r>
    </w:p>
    <w:p>
      <w:r>
        <w:t>Bundesverwaltungsgericht, 2020-05-28, DE</w:t>
      </w:r>
    </w:p>
    <w:p>
      <w:r>
        <w:rPr>
          <w:b/>
        </w:rPr>
        <w:t xml:space="preserve">Quelle: </w:t>
      </w:r>
      <w:r>
        <w:t>https://mcp.opencaselaw.ch/entscheid/bvger_F-2575_2020</w:t>
      </w:r>
    </w:p>
    <w:p>
      <w:r>
        <w:t>FR: TAF F-2575/2020 du 28 mai 2020</w:t>
      </w:r>
    </w:p>
    <w:p>
      <w:r>
        <w:t>IT: TAF F-2575/2020 del 28 maggio 2020</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w:t>
      </w:r>
    </w:p>
    <w:p>
      <w:r>
        <w:t>In der Beschwerde wird namentlich geltend gemacht, aus den Verfahrensakten gehe hervor, dass die Eurodac-Treffermeldung (Hit Eurodac) auf den 2. Dezember 2019 datiert sei. Der angefochtenen Verfügung und den Verfahrensakten (vgl. Ersuchen TC Italien) sei zu entnehmen, dass die Vorin-stanz die italienischen Behörden am 18. Februar 2020 um Wiederaufnahme des Beschwerdeführers ersucht habe. Das Gesuch um Wiederaufnahme sei somit nicht fristgerecht gestellt worden. Gemäss Art. 23 Abs. 3 Dublin-III-VO sei der Mitgliedstaat für die Prüfung des Antrags auf internationalen Schutz zuständig, in dem der neue Antrag gestellt worden sei, wenn das Wiederaufnahmegesuch nicht innerhalb der festgesetzten Frist erfolge. Demnach sei die Zuständigkeit aufgrund der Verfristung im Sinne von Art. 23 Abs. 3 Dublin-III-VO automatisch auf die Schweiz übergegangen.Die Prüfung einer möglichen Zuständigkeit Italiens erübrige sich somit. Die angefochtene Verfügung sei deshalb aufzuheben und die Vorinstanz anzuweisen, auf das Asylgesuch des Beschwerdeführers einzutreten.</w:t>
      </w:r>
    </w:p>
    <w:p>
      <w:r>
        <w:rPr>
          <w:b/>
        </w:rPr>
        <w:t>E. 5.1</w:t>
      </w:r>
    </w:p>
    <w:p>
      <w:r>
        <w:t>Vorab ist - auch wenn dies auf die vorliegend in Frage stehende Rechtsfolge keinen Einfluss hat - der Klarheit halber darauf hinzuweisen, dass die Vorinstanz sich entgegen der auf Beschwerdeebene vertretenen Auffassung nicht mit einem Wiederaufnahmegesuch gestützt auf Art. 23 Dublin-III-VO an die italienischen Behörden gewendet hat, sondern im Aufnahmeverfahren (engl.: take charge) mit einem Aufnahmegesuch gestützt auf Art. 21 Dublin-III-VO an diese gelangt ist (vgl. SEM-act. 1057638-31/7).</w:t>
      </w:r>
    </w:p>
    <w:p>
      <w:r>
        <w:rPr>
          <w:b/>
        </w:rPr>
        <w:t>E. 5.2</w:t>
      </w:r>
    </w:p>
    <w:p>
      <w:r>
        <w:t>Hält der Mitgliedstaat, in dem ein Antrag auf internationalen Schutz gestellt wurde, einen anderen Mitgliedstaat für die Prüfung des Antrags für zuständig, so kann er so bald wie möglich, auf jeden Fall aber innerhalb von drei Monaten nach Antragstellung im Sinne von Artikel 20 Absatz 2, diesen anderen Mitgliedstaat ersuchen, den Antragsteller aufzunehmen (Art. 21 Abs. 1 Unterabs. 1 Dublin-III-VO). Abweichend von Unterabsatz 1 wird im Fall einer Eurodac-Treffermeldung im Zusammenhang mit Daten gemäss Artikel 14 der Verordnung (EU) Nr. 603/2013 dieses Gesuch innerhalb von zwei Monaten nach Erhalt der Treffermeldung gemäss Artikel 15 Absatz 2 jener Verordnung gestellt (Art. 21 Abs. 1 Unterabs. 2 Dublin-III-VO).Wird das Gesuch um Aufnahme eines Antragstellers nicht innerhalb der in Unterabsätzen 1 und 2 niedergelegten Frist unterbreitet, so ist der Mitgliedstaat, in dem der Antrag auf internationalen Schutz gestellt wurde, für die Prüfung des Antrags zuständig (Art. 21 Abs. 1 Unterabs. 3 Dublin-III-VO). In diesem Zusammenhang ist auf die Rechtsprechung des Europäischen Gerichtshofs (EuGH) zu verweisen, wonach Aufnahme- und Wiederaufnahmeverfahren nach der Dublin-III-VO unter Beachtung einer Reihe zwingender Fristen durchgeführt werden müssen, darunter namentlich der Anfragefristen von Art. 21 Abs. 1 Unterabs. 1 und 2 Dublin-III-VO. Der Unionsgesetzgeber habe für den Fall der Nichteinhaltung dieser Frist in Art. 21 Abs. 1 Unterabs. 3 Dublin-III-VO die Rechtsfolge des Übergangs der Zuständigkeit vorgesehen, was in Einklang stehe mit dem im fünften Erwägungsgrund der Dublin-III-VO erwähnten Ziel einer zügigen Bearbeitung der Asylanträge. Eine Überstellungsentscheidung könne daher nicht wirksam ergehen, wenn die festgelegten Fristen nicht eingehalten würden (vgl. Urteil des EuGH vom 26. Juli 2017 C-670/16 Mengesteab, veröffentlicht in der digitalen Sammlung [Allgemeine Sammlung] unter http:curia.europa.eu , Rn. 49-54; BVGE 2018 VI/2 E. 7 [S. 8], 2017 VI/9 E. 5.2.3 [S. 97], je mit Hinweis auf Urteil Mengesteab; vgl. auch Ulrich Koehler, Praxiskommentar zum Europäischen Asylzuständigkeitssystem, Berlin 2018, S. 386-388, Rn. 6-11).</w:t>
      </w:r>
    </w:p>
    <w:p>
      <w:r>
        <w:rPr>
          <w:b/>
        </w:rPr>
        <w:t>E. 5.3</w:t>
      </w:r>
    </w:p>
    <w:p>
      <w:r>
        <w:t>Vorliegend ist davon auszugehen, dass die Eurodac-Treffermeldung beim SEM am 2. Dezember 2019 eingegangen ist (vgl. im Aktenverzeichnis des vorinstanzlichen Dossiers als "Hit Eurodac" bezeichnetes Aktenstück 1057638-8/1). Demzufolge wäre das Aufnahmegesuch in Berücksichtigung der in Art. 21 Abs. 1 Unterabs. 2 Dublin-III-VO festgelegten zweimonatigen Frist spätestens bis am 2. Februar 2020 an die italienischen Behörden zu richten gewesen. Da die Vorinstanz die italienischen Behörden erst am 18. Februar 2020 um Aufnahme des Beschwerdeführers ersucht hat, wurde die in der vorgenannten Bestimmung niedergelegte Frist von zwei Monaten, welche im Sinne der erwähnten Rechtsprechung des EuGH als zwingend zu erachten ist, verpasst.</w:t>
      </w:r>
    </w:p>
    <w:p>
      <w:r>
        <w:rPr>
          <w:b/>
        </w:rPr>
        <w:t>E. 5.4</w:t>
      </w:r>
    </w:p>
    <w:p>
      <w:r>
        <w:t>Nach dem Gesagten ergibt sich, dass die Vorinstanz gestützt auf Art. 21 Abs. 1 Unterabs. 3 Dublin-II-VO für die Prüfung des Asylgesuchs des Beschwerdeführers zuständig ist (vgl. diesbez. auch der dem Urteil des BVGer F-1328/2020 vom 18. Mai 2020 zugrundeliegende, ähnlich gelagerte Fall).</w:t>
      </w:r>
    </w:p>
    <w:p>
      <w:r>
        <w:rPr>
          <w:b/>
        </w:rPr>
        <w:t>E. 6</w:t>
      </w:r>
    </w:p>
    <w:p>
      <w:r>
        <w:t>Die Beschwerde ist infolgedessen gutzuheissen, die angefochtene Verfügung aufzuheben und die Vorinstanz anzuweisen, auf das Asylgesuch des Beschwerdeführers einzutreten und sein Asyl- und Wegweisungsverfahren in der Schweiz durchzuführen. Bei diesem Ausgang des Verfahrens kann die Frage, ob die weiteren, im Zusammenhang mit der gesundheitlichen Situation des Beschwerdeführers, geltend gemachten Vorbringen Anlass zur Ausübung des Selbsteintrittsrechts der Schweiz (Art. 17 Abs. 1 Satz 1 Dublin-III-VO, Art. 29a Abs. 3 der Asylverordnung 1 vom 11. August 1999 [AsylV 1, SR 142.311]) begründen würden, offengelassen werden.</w:t>
      </w:r>
    </w:p>
    <w:p>
      <w:r>
        <w:rPr>
          <w:b/>
        </w:rPr>
        <w:t>E. 7.1</w:t>
      </w:r>
    </w:p>
    <w:p>
      <w:r>
        <w:t>Ausgangsgemäss sind dem Beschwerdeführer keine Kosten aufzuerlegen (Art. 63 Abs. 1 VwVG). Die Gesuche um Gewährung der unentgeltlichen Prozessführung und Verzicht auf die Erhebung eines Kostenvorschusses sind damit gegenstandslos geworden.</w:t>
      </w:r>
    </w:p>
    <w:p>
      <w:r>
        <w:rPr>
          <w:b/>
        </w:rPr>
        <w:t>E. 7.2</w:t>
      </w:r>
    </w:p>
    <w:p>
      <w:r>
        <w:t>Dem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