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F-2570/2021 vom 7. Juni 2021</w:t>
      </w:r>
    </w:p>
    <w:p>
      <w:r>
        <w:t>Bundesverwaltungsgericht, 2021-06-07, DE</w:t>
      </w:r>
    </w:p>
    <w:p>
      <w:r>
        <w:rPr>
          <w:b/>
        </w:rPr>
        <w:t xml:space="preserve">Quelle: </w:t>
      </w:r>
      <w:r>
        <w:t>https://mcp.opencaselaw.ch/entscheid/bvger_F-2570_2021</w:t>
      </w:r>
    </w:p>
    <w:p>
      <w:r>
        <w:t>FR: TAF F-2570/2021 du 7 juin 2021</w:t>
      </w:r>
    </w:p>
    <w:p>
      <w:r>
        <w:t>IT: TAF F-2570/2021 del 7 giugno 2021</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frist- und formgerecht eingereichte Beschwerde ist einzutreten (Art. 108 Abs. 3 AsylG sowie Art. 52 Abs. 1 VwVG).</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4.1</w:t>
      </w:r>
    </w:p>
    <w:p>
      <w:r>
        <w:t>In formeller Hinsicht rügt der Parteivertreter, die Vorinstanz sei ihrer Begründungspflicht weder mit Blick auf die individuell vorgebrachten Erlebnisse noch in Bezug auf die aktuelle Situation von Asylsuchenden in Rumänien hinreichend nachgekommen. Der Anspruch auf rechtliches Gehör verlangt, dass die verfügende Behörde die Vorbringen der Betroffenen tatsächlich hört, sorgfältig und ernsthaft prüft und in der Entscheidfindung berücksichtigt, was sich entsprechend in der Begründung niederschlagen muss. Nicht erforderlich ist, dass sich die Begründung mit allen Parteistandpunkten einlässlich auseinandersetzt und jedes einzelne Vorbringen ausdrücklich widerlegt. Die Begründung muss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(BGE 137 II 266 E. 3.2; 136 I 229 E. 5.2; 136 V 351 E. 4.2).</w:t>
      </w:r>
    </w:p>
    <w:p>
      <w:r>
        <w:rPr>
          <w:b/>
        </w:rPr>
        <w:t>E. 4.2</w:t>
      </w:r>
    </w:p>
    <w:p>
      <w:r>
        <w:t>Das SEM stellte sich in der angefochtenen Verfügung auf den Standpunkt, dass sich Rumänien an die einschlägigen internationalen Verpflichtungen halte und keine systemischen Mängel im Asylsystem vorlägen. Unter anderem unter Verweis auf zwei Urteile des Bundesverwaltungsgerichts, einen Länderreport sowie Medienberichte hat es seine Ansicht begründet, weshalb es davon ausgehe, dass eine Überstellung des Beschwerdeführers im Rahmen der Dublin-III-VO zulässig sei und ein Selbsteintritt nicht angezeigt erscheine. Auch mit den Schilderungen des Betroffenen und den eingereichten Beweismitteln hat sich die Vorinstanz auseinandergesetzt und dargetan, weshalb die Vorbringen des noch jungen, alleinstehenden Beschwerdeführers, der keine gravierenden gesundheitlichen Probleme geltend mache, an der vorgenommenen Einschätzung nichts zu ändern vermöchten. Unter den dargelegten Umständen war für ihn ohne weiteres erkennbar, von welchen Motiven sich das SEM bei seinem Entscheid leiten liess, und er war in der Lage, seine Parteirechte sachgerecht wahrzunehmen. Eine Verletzung der Begründungspflicht ist mithin nicht erkennbar.</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w:t>
      </w:r>
    </w:p>
    <w:p>
      <w:r>
        <w:rPr>
          <w:b/>
        </w:rPr>
        <w:t>E. 5.3</w:t>
      </w:r>
    </w:p>
    <w:p>
      <w:r>
        <w:t>Der nach dieser Verordnung zuständige Mitgliedstaat ist verpflichtet, die antragstellende Person, die während der Prüfung ihres Antrags in einem anderen Mitgliedstaat einen Antrag gestellt hat oder die sich im Hoheitsgebiet eines anderen Mitgliedstaats ohne Aufenthaltstitel aufhält, nach Massgabe der Artikel 23, 24, 25 und 29 wiederaufzunehmen (Art. 18 Abs. 1 Bst. b Dublin-III-VO). Die Dublin-III-VO räumt den Schutzsuchenden kein Recht ein, den ihren Antrag prüfenden Staat selber auszuwählen (vgl. BVGE 2010/45 E. 8.3).</w:t>
      </w:r>
    </w:p>
    <w:p>
      <w:r>
        <w:rPr>
          <w:b/>
        </w:rPr>
        <w:t>E. 6.1</w:t>
      </w:r>
    </w:p>
    <w:p>
      <w:r>
        <w:t>Ein Abgleich der Fingerabdrücke des Beschwerdeführers mit der «Eurodac»-Datenbank ergab, dass er am 9. Februar 2021 in Rumänien um Asyl nachgesucht hatte (SEM act. 8). Die rumänischen Behörden stimmten dem Übernahmeersuchen am 13. Mai 2021 zu. Die Zustimmung stützte sich auf Art. 18 Abs. 1 Bst. b Dublin-III-VO (SEM act. 22). Die grundsätzliche Zuständigkeit Rumäniens ist somit gegeben und wird auf Beschwerdeebene auch nicht bestritten.</w:t>
      </w:r>
    </w:p>
    <w:p>
      <w:r>
        <w:rPr>
          <w:b/>
        </w:rPr>
        <w:t>E. 6.2</w:t>
      </w:r>
    </w:p>
    <w:p>
      <w:r>
        <w:t>Nachfolgend ist demnach im Licht von Art. 3 Abs. 2 Dublin-III-VO zu prüfen, ob es wesentliche Gründe für die Annahme gibt, das Asylverfahren und die Aufnahmebedingungen für Asylsuchende in Rumänien würden systemische Schwachstellen aufweisen, die eine Gefahr einer unmenschlichen oder entwürdigenden Behandlung im Sinne des Artikels 4 der EU-Grundrechtecharta mit sich bringen würden (E. 7) und ob nach Art. 17 Abs. 1 Dublin-III-VO das Selbsteintrittsrecht auszuüben ist (E. 8).</w:t>
      </w:r>
    </w:p>
    <w:p>
      <w:r>
        <w:rPr>
          <w:b/>
        </w:rPr>
        <w:t>E. 7.1</w:t>
      </w:r>
    </w:p>
    <w:p>
      <w:r>
        <w:t>Rumänien ist Signatarstaat der EMRK, der FoK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Zwar ist den in der Beschwerdeschrift zitierten Publikationen zu entnehmen, dass die Situation von (abgewiesenen) Asylsuchenden sowie Migrantinnen und Migranten in Rumänien teilweise problematisch ist. Dennoch geht das Gericht nicht davon aus, die bekannten Unzulänglichkeiten würden in einer Weise auftreten, welche darauf schliessen liesse, Rumänien sei grundsätzlich nicht gewillt oder nicht fähig, Schutzberechtigten die ihnen zustehenden Rechte zu gewähren beziehungsweise dass diese Ansprüche bei Bedarf nicht auf dem Rechtsweg durchgesetzt werden könnten. Bislang haben weder das Bundesverwaltungsgericht noch der Europäische Gerichtshof für Menschenrechte (EGMR) - und im Übrigen auch nicht der Gerichtshof der Europäischen Union (EuGH) - systemische Schwachstellen im rumänischen Asylsystem erkannt. Für eine Änderung der geltenden Rechtsprechung besteht unter Berücksichtigung der vom Beschwerdeführer gemachten Äusserungen zu seiner Behandlung in Rumänien ebenfalls keine Veranlassung (vgl. etwa Urteile des BVGer F-1123/2021 vom 24. März 2021 E. 4.2, F-1186/2021 vom 24. März 2021, E-350/2021 vom 1. Februar 2021 E. 8.1, E-5656/2020 vom 22. Januar 2021 E. 6.1, D-6557/2020 vom 7. Januar 2021 E. 9.3, F-6222/2020 vom 16. Dezember 2020 E. 7.3 oder F-5474/2020 vom 13. November 2020 E. 4.1).</w:t>
      </w:r>
    </w:p>
    <w:p>
      <w:r>
        <w:rPr>
          <w:b/>
        </w:rPr>
        <w:t>E. 7.2</w:t>
      </w:r>
    </w:p>
    <w:p>
      <w:r>
        <w:t>Unter diesen Umständen ist die Anwendung von Art. 3 Abs. 2 Dublin-III-VO nicht gerechtfertigt.</w:t>
      </w:r>
    </w:p>
    <w:p>
      <w:r>
        <w:rPr>
          <w:b/>
        </w:rPr>
        <w:t>E. 8.1</w:t>
      </w:r>
    </w:p>
    <w:p>
      <w:r>
        <w:t>Der Beschwerdeführer fordert die Anwendung der Ermessensklauseln von Art. 17 Abs. 1 Dublin-III-VO und von Art. 29a Abs. 3 der Asylverordnung 1 vom 11. August 1999 (AsylV 1, SR 142.311). Es ist daher zu prüfen, ob aufgrund seiner persönlichen Situation von einer Überstellung nach Rumänien abzusehen ist, weil sie für ihn das reelle und naheliegende Risiko einer unmenschlichen oder entwürdigenden Behandlung im Sinne von Art. 4 EU-Grundrechtecharta und Art. 3 EMRK mit sich bringen würde (BVGE 2012/27 E. 6.4; 2010/45 E. 7.4; Urteile des BVGer F-7195/2018 vom 11. Februar 2020 E. 6.6.9; E-3356/2018 vom 27. Juni 2018 E. 4.2; Urteil des EGMR Tarakhel gegen Schweiz vom 4. November 2014, Grosse Kammer 29217/12, § 104; Urteil des EuGH vom 19. März 2019 C-163/17 Jawo Rn. 76 ff.).</w:t>
      </w:r>
    </w:p>
    <w:p>
      <w:r>
        <w:rPr>
          <w:b/>
        </w:rPr>
        <w:t>E. 8.2</w:t>
      </w:r>
    </w:p>
    <w:p>
      <w:r>
        <w:t>Die rumänischen Behörden stimmten der Wiederaufnahme des Beschwerdeführers gestützt auf Art. 18 Abs. 1 Bst. b Dublin-III-VO zu und hielten fest, dass sein Antrag sich noch in Bearbeitung befinde (SEM act. 22). Rumänien hat damit signalisiert, die Verantwortung für das Asylverfahren übernehmen zu wollen. Dem Betroffenen steht es nach erfolgter Überstellung in dieses Land offen, das dortige Asylverfahren fortführen zu lassen. Seine Befürchtung, wonach dies nicht mehr möglich sei, widerspricht den vorinstanzlichen Erkenntnissen und beruht auf reinen Mutmassungen. Er hat in diesem Zusammenhang nicht hinreichend dargetan, die rumänischen Behörden würden sich weigern, seinen Antrag auf internationalen Schutz unter Einhaltung der Regeln der Verfahrensrichtlinie zu prüfen. Auch sind keine konkreten Anhaltspunkte ersichtlich, dass Rumänien den Grundsatz des Non-Refoulement missachten und ihn zur Ausreise in ein Land zwingen würde, in dem sein Leib, sein Leben oder seine Freiheit aus einem Grund nach Art. 3 Abs. 1 AsylG gefährdet ist oder in dem er Gefahr laufen würde, zur Ausreise in ein solches Land gezwungen zu werden. Ebenso wenig führt die Überstellung vorliegend zu einer Kettenabschiebung. Hervorzuheben gilt es an dieser Stelle, dass der Beschwerdeführer in Rumänien - wenn auch angeblich gegen seinen Willen - als Asylsuchender registriert wurde, er das Land jedoch verlassen hat, bevor über sein Asylgesuch befunden wurde. Seine Ausreise erfolgte mit anderen Worten freiwillig und die rumänischen Behörden haben nicht versucht, ihn nach Afghanistan oder in ein anderes Land zu bringen. Nichts zu seinen Gunsten abzuleiten vermag er ferner aus den auf Beschwerdeebene eingereichten Berichten, Reporten und den zitierten, sich nicht auf Rumänien beziehenden Urteilen des EGMR. Soweit er im Dublin-Gespräch vorbrachte, nach wie vor von einem Schlepper bedroht zu werden, steht es ihm frei, sich an die dafür zuständigen rumänischen Stellen beziehungsweise an die Justiz zu wenden. Rumänien ist ein Rechtsstaat und die Behörden sind grundsätzlich gewillt und fähig, staatlichen Schutz zu gewähren.</w:t>
      </w:r>
    </w:p>
    <w:p>
      <w:r>
        <w:rPr>
          <w:b/>
        </w:rPr>
        <w:t>E. 8.3</w:t>
      </w:r>
    </w:p>
    <w:p>
      <w:r>
        <w:t>Des Weiteren finden sich in den Akten keine konkreten Hinweise für die Annahme, Rumänien würde dem Beschwerdeführer dauerhaft die ihm gemäss Aufnahmerichtlinie zustehenden minimalen Lebensbedingungen vorenthalten. Es kann offenbleiben, ob sein Vorbringen, unter Gewalteinwirkung zur Registrierung und Einreichung eines Asylgesuches gezwungen worden zu sein, glaubhaft erscheint. Aus diesem Einzelfall könnte jedenfalls nicht geschlossen werden, die ihn bei einer Rückführung zu erwartenden Bedingungen seien derart schlecht, dass sie zu einer Verletzung von Art. 4 der Grundrechtecharta, Art. 3 EMRK oder Art. 3 FoK führen könnten. Analoges gilt hinsichtlich der behaupteten Missstände in den Asylunterkünften. Mit Blick auf die in diesem Zusammenhang eingereichten Unterlagen (Fotos, Videos auf USB-Stick) ist anzumerken, dass sie sich örtlich und zeitlich nicht zuordnen lassen und daher wenig aufschlussreich sind. Abgesehen davon hat der Beschwerdeführer in dem heftig kritisierten Camp in Timisoara gerade mal zwei Tage und im Camp in Galati (die dortigen Bedingungen bezeichnete er erst im Nachhinein als ebenfalls prekär) etwas mehr als eine Woche verbracht, weswegen den diesbezüglich erhobenen Rügen, losgelöst von sonstigen Ungereimtheiten, schon deshalb die Grundlage entzogen ist. Bei einer allfälligen vorübergehenden Einschränkung könnte er sich im Übrigen an die Behörden wenden und die ihm zustehenden Aufnahmebedingungen auf dem Rechtsweg einfordern (vgl. Art. 26 der Aufnahmerichtlinie). Zudem steht ihm die Möglichkeit offen, die vor Ort tätigen karitativen Organisationen zu kontaktieren. An der unter E. 8.1 skizzierten Rechtsprechung ist deshalb festzuhalten.</w:t>
      </w:r>
    </w:p>
    <w:p>
      <w:r>
        <w:rPr>
          <w:b/>
        </w:rPr>
        <w:t>E. 8.4</w:t>
      </w:r>
    </w:p>
    <w:p>
      <w:r>
        <w:t>Was den medizinischen Sachverhalt angeht, so kann eine zwangsweise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w:t>
      </w:r>
    </w:p>
    <w:p>
      <w:r>
        <w:rPr>
          <w:b/>
        </w:rPr>
        <w:t>E. 8.5</w:t>
      </w:r>
    </w:p>
    <w:p>
      <w:r>
        <w:t>Eine solche Situation liegt nicht vor. Der Beschwerdeführer gab anlässlich des Dublin-Gesprächs vom 29. April 2021 an, dass es ihm gut gehe. Psychisch sei er allerdings unruhig und könne seit sechs Monaten nicht gut schlafen. Zudem erhalte er für seinen verletzten linken Fuss täglich eine neue Bandage. Medikamente nehme er keine. Wegen später aufgetretener Schmerzen unterzog er sich am 21. Mai 2021 einer ambulanten medizinischen Abklärung. Aus dem entsprechenden Behandlungseintrag geht hervor, dass bei ihm eine Thorakodynie (Brustschmerzen), eine Anpassungsstörung und eine depressive Episode diagnostiziert wurden. Zur Behandlung dieser gesundheitlichen Probleme verschrieb ihm der Arzt ein schlafanstossendes Antidepressivum und Schmerzmittel (SEM act. 26). Die diagnostizierten Beschwerden stellen keine derart gravierenden gesundheitlichen Beeinträchtigungen dar, dass im Falle der Überstellung nach Rumänien mit dem Risiko einer ernsten, raschen und unwiederbringlichen Verschlechterung des Gesundheitszustandes des Betroffenen gerechnet werden müsste. Eine Überstellung des Beschwerdeführers steht Art. 3 EMRK somit nicht entgegen.</w:t>
      </w:r>
    </w:p>
    <w:p>
      <w:r>
        <w:rPr>
          <w:b/>
        </w:rPr>
        <w:t>E. 8.6</w:t>
      </w:r>
    </w:p>
    <w:p>
      <w:r>
        <w:t>Aufgrund des beschriebenen Gesundheitszustandes kann der Beschwerdeführer auch nicht zur Gruppe besonders verletzlicher Personen gezählt werden, womit es keiner individuellen Zusicherungen der rumänischen Behörden bezüglich Unterbringung, Ernährung oder medizinischer Versorgung bedarf. Ebenso wenig liegt nach dem bisher Gesagten eine Verletzung des Untersuchungsgrundsatzes vor. Die auf Beschwerdeebene mehrfach erhobene Rüge der nicht rechtsgenüglichen Sachverhaltsabklärung erweist sich folglich als nicht stichhaltig.</w:t>
      </w:r>
    </w:p>
    <w:p>
      <w:r>
        <w:rPr>
          <w:b/>
        </w:rPr>
        <w:t>E. 8.7</w:t>
      </w:r>
    </w:p>
    <w:p>
      <w:r>
        <w:t>Im Übrigen geht das Bundesverwaltungsgericht in ständiger Rechtsprechung davon aus, dass Rumänien über eine ausreichende medizinische Infrastruktur verfügt (vgl. etwa Urteile F-1186/2021 E. 5.5.3, E-350/2021 E. 8.2.2 oder E-5656/2020 E. 6.3.2). Es liegen keine substantiierten Hinweise zur Annahme der Gefahr vor, dass Rumänien dem Beschwerdeführer im Falle der Überstellung eine adäquate medizinische Behandlung verweigern könnte. Festzuhalten ist darüber hinaus, dass die schweizerischen Behörden, die mit dem Vollzug der angefochten Verfügung beauftragt sind, allfällig bestehenden besonderen medizinischen Bedürfnissen bei der Bestimmung der konkreten Modalitäten der Überstellung des Beschwerdeführers Rechnung tragen und die rumänischen Behörden vorgängig darüber informieren (vgl. Art. 31 f. Dublin-III-VO).</w:t>
      </w:r>
    </w:p>
    <w:p>
      <w:r>
        <w:rPr>
          <w:b/>
        </w:rPr>
        <w:t>E. 9</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10</w:t>
      </w:r>
    </w:p>
    <w:p>
      <w:r>
        <w:t>Nach dem Gesagten besteht kein Grund für eine Anwendung der Ermessensklauseln von Art. 17 Dublin-III-VO. Somit bleibt Rumänien der für die Behandlung des Asylgesuches des Beschwerdeführers zuständige Mitgliedstaat gemäss Dublin-III-VO.</w:t>
      </w:r>
    </w:p>
    <w:p>
      <w:r>
        <w:rPr>
          <w:b/>
        </w:rPr>
        <w:t>E. 11</w:t>
      </w:r>
    </w:p>
    <w:p>
      <w:r>
        <w:t>Das SEM ist demnach zu Recht in Anwendung von Art. 31a Abs. 1 Bst. b AsylG auf das Asylgesuch des Beschwerdeführers nicht eingetreten. Da der Beschwerdeführer nicht im Besitz einer gültigen Aufenthalts- oder Niederlassungsbewilligung ist, wurde die Überstellung in Anwendung von Art. 44 AsylG ebenfalls zu Recht angeordnet (Art. 32 Bst. a AsylV 1).</w:t>
      </w:r>
    </w:p>
    <w:p>
      <w:r>
        <w:rPr>
          <w:b/>
        </w:rPr>
        <w:t>E. 12</w:t>
      </w:r>
    </w:p>
    <w:p>
      <w:r>
        <w:t>Nach dem Gesagten ist die Beschwerde abzuweisen und die Verfügung des SEM zu bestätigen.</w:t>
      </w:r>
    </w:p>
    <w:p>
      <w:r>
        <w:rPr>
          <w:b/>
        </w:rPr>
        <w:t>E. 13</w:t>
      </w:r>
    </w:p>
    <w:p>
      <w:r>
        <w:t>Der am 1. Juni 2021 angeordnete Vollzugsstopp fällt mit vorliegendem Urteil dahin.</w:t>
      </w:r>
    </w:p>
    <w:p>
      <w:r>
        <w:rPr>
          <w:b/>
        </w:rPr>
        <w:t>E. 14</w:t>
      </w:r>
    </w:p>
    <w:p>
      <w:r>
        <w:t>Das mit der Beschwerde gestellte Gesuch um Gewährung der unentgeltlichen Prozessführung und Verzicht auf die Erhebung eines Kostenvorschusses ist abzuweisen, da die Begehren - wie sich aus den vorstehenden Erwägungen ergibt - als aussichtslos zu bezeichnen sind. Somit sind die Voraussetzungen von Art. 65 Abs. 1 VwVG nicht erfüllt; die Verfahrenskosten sind dem Beschwerdeführer aufzuerlegen (Art. 63 Abs. 1 VwVG) und auf insgesamt Fr. 750.-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