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F-2552/2017 vom 9. Oktober 2017</w:t>
      </w:r>
    </w:p>
    <w:p>
      <w:r>
        <w:t>Bundesverwaltungsgericht, 2017-10-09, DE</w:t>
      </w:r>
    </w:p>
    <w:p>
      <w:r>
        <w:rPr>
          <w:b/>
        </w:rPr>
        <w:t xml:space="preserve">Quelle: </w:t>
      </w:r>
      <w:r>
        <w:t>https://mcp.opencaselaw.ch/entscheid/bvger_F-2552_2017</w:t>
      </w:r>
    </w:p>
    <w:p>
      <w:r>
        <w:t>FR: TAF F-2552/2017 du 9 octobre 2017</w:t>
      </w:r>
    </w:p>
    <w:p>
      <w:r>
        <w:t>IT: TAF F-2552/2017 del 9 ottobre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absehenoder ein Einreiseverbot vollständig oder vorübergehend aufheben (Art. 67 Abs. 5 AuG).</w:t>
      </w:r>
    </w:p>
    <w:p>
      <w:r>
        <w:rPr>
          <w:b/>
        </w:rPr>
        <w:t>E. 3.2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C-5068/2015 vom 26. April 2016 E. 3.2 m.H.).</w:t>
      </w:r>
    </w:p>
    <w:p>
      <w:r>
        <w:rPr>
          <w:b/>
        </w:rPr>
        <w:t>E. 4.1</w:t>
      </w:r>
    </w:p>
    <w:p>
      <w:r>
        <w:t>Die Vorinstanz begründete das gegen den Beschwerdeführer verhängte Einreiseverbot zum einen mit dessen illegaler Einreise in die Schweiz, womit er gegen ausländerrechtliche Vorschriften verstossen und die öffentliche Sicherheit und Ordnung gefährdet habe (Art. 67 Abs. 2 Bst. a AuG); zum andern warf sie ihm vor, während seines Aufenthaltes in der Schweiz Sozialhilfekosten verursacht zu haben, wobei auch die Kosten für dessen Rückreise in den Herkunftsstaat (Dänemark) von der öffentlichen Hand hätten übernommen werden müssen (Art. 67 Abs. 2 Bst. b AuG).</w:t>
      </w:r>
    </w:p>
    <w:p>
      <w:r>
        <w:rPr>
          <w:b/>
        </w:rPr>
        <w:t>E. 4.2</w:t>
      </w:r>
    </w:p>
    <w:p>
      <w:r>
        <w:t>Der Beschwerdeführer bestreitet nicht, illegal in die Schweiz eingereist zu sein, macht jedoch geltend, aus politischen Gründen in dieses Land geflüchtet zu sein, um hier um Asyl zu ersuchen. Soweit er vorbringt, im Rahmen einer von seiner Firma organisierten Reise während drei Tagen in Dänemark gewesen zu sein und danach wieder in sein Heimatland (Türkei) zurückgekehrt zu sein, genügt der Hinweis auf die (umfassenden) Erwägungen im rechtskräftigen Urteil des Bundesverwaltungsgerichts D-1929/2017 vom 10. April 2017, welches als Quintessenz festhielt, dem Beschwerdeführer sei der Nachweis nicht gelungen, dass er das Hoheitsgebiet der Dublin-Mitgliedstaaten - wie von ihm behauptet - während mehr als drei Monaten verlassen habe. Sein Vorbringen, bereits im August 2016 Dänemark wieder verlassen und bis im Januar 2017 in der Türkei geweilt zu haben, bevor er in der Schweiz um Asyl nachgesucht habe, sei unglaubhaft, zumal er keinerlei Belege für den geltend gemachten Aufenthalt ausserhalb des Hoheitsgebietes der Dublin-Staaten habe beibringen können. Damit steht zweifelsfrei fest, dass der Beschwerdeführer am 12. Januar 2017 rechtswidrig in die Schweiz eingereist ist und damit den Fernhaltegrund von Art. 67 Abs. 2 Bst. a AuG gesetzt hat.</w:t>
      </w:r>
    </w:p>
    <w:p>
      <w:r>
        <w:rPr>
          <w:b/>
        </w:rPr>
        <w:t>E. 4.2.1</w:t>
      </w:r>
    </w:p>
    <w:p>
      <w:r>
        <w:t>Bezüglich des von der Vorinstanz erwähnten Fernhaltegrundes im Sinne von Art. 67 Abs. 2 Bst. b AuG - die Verursachung von Sozialhilfekosten - gilt es festzuhalten, dass dieser entgegen dem Wortlaut erst dann in Betracht fällt, wenn zusätzlich die Gefahr besteht, dass bei einer Wiedereinreise erneut Sozialhilfe- und Rückreisekosten entstehen. Voraussetzung für die Annahme einer solchen Gefahr ist eine gewisse Wahrscheinlichkeit dafür, dass die betroffene Person im Bedarfsfall nicht unverzüglich auf finanzielle Mittel zurückgreifen kann (vgl. Urteil des BVGer C-166/2007 vom 27. August 2007, E. 5.1; Marc Spescha in: Kommentar Migrationsrecht, 4. Aufl. 2014, Art. 67 N 3a, sowie Andrea Binder Oser in: Stämpflis Handkommentar, Bundesgesetz über die Ausländerinnen und Ausländer, 2010, Art. 67 N 10 m.H.). Sie ist im Falle des Beschwerdeführers zu bejahen, hat er doch während seines (illegalen) Aufenthaltes in der Schweiz nicht nur Sozialhilfe-, sondern auch Kosten für seine Rückreise in den Dublin-Staat Dänemark verursacht. Im vorliegenden Fall besteht demzufolge auch ein Fernhaltegrund im Sinne von Art. 67 Abs. 2 Bst. b AuG (vgl. zum Ganzen Urteil des BVGer F-5519/2015 vom 12. Juni 2017 E. 5.3.3).</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5.2</w:t>
      </w:r>
    </w:p>
    <w:p>
      <w:r>
        <w:t>Das Verhalten des Beschwerdeführers ist zweifelsohne geeignet, die fremdenpolizeiliche Ordnung ernsthaft zu beeinträchtigen. Dieses Fehlverhalten wiegt objektiv nicht leicht, zumal sich der Beschwerdeführer gegenüber den zuständigen Behörden völlig uneinsichtig gezeigt und das inkriminierte Verhalten trotz belastender Aktenlage (vgl. das bereits mehrfach erwähnte und rechtskräftige Asylurteil D-1929/2017) bis zum Schluss vehement abgestritten hat. Aus seinem manifestierten Verhalten wird auf eine Gefährdung der öffentlichen Sicherheit und Ordnung geschlossen. Das Einreiseverbot hat in erster Linie präventiven Charakter, um einem erneuten illegalen Aufenthalt des Beschwerdeführers, welcher weitere Sozialhilfekosten verursachen könnte, entgegenzuwirken. Die Vorinstanz war demnach berechtigt, zur Abwendung künftiger Störungen ein Einreiseverbot zu verhängen. Im Zusammenhang mit der Einhaltung der ausländerrechtlichen Ordnung kommt den Vorschriften über Einreise und Aufenthalt zentrale Bedeutung zu. Es gilt sicherzustellen, dass sich ausschliesslich Personen in der Schweiz aufhalten, die dazu auch befugt sind, und durchzusetzen, dass andere, welche die Voraussetzungen nicht erfüllen, gar nicht erst einreisen bzw. das Land auf behördliche Anordnung hin auch tatsächlich verlassen. Namentlich das generalpräventiv motivierte Interesse, die ausländerrechtliche Ordnung durch eine konsequente Massnahmenpraxis zu schützen, ist als gewichtig zu betrachten (zur Zulässigkeit der Berücksichtigung generalpräventiver Aspekte in Konstellationen, in denen wie hier kein sogenannter Vertragsausländer betroffen ist, vgl. Urteil des BGer 2C_282/2012 vom 31. Juli 2012 E. 2.5 m.H.).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F-3002/2016 vom 10. Juli 2017 E. 5.2 m.H.). Es besteht somit ein gewichtiges öffentliches Interesse an der Fernhaltung des Beschwerdeführers.</w:t>
      </w:r>
    </w:p>
    <w:p>
      <w:r>
        <w:rPr>
          <w:b/>
        </w:rPr>
        <w:t>E. 5.3</w:t>
      </w:r>
    </w:p>
    <w:p>
      <w:r>
        <w:t>Dem öffentlichen Interesse an ihrer befristeten Fernhaltung stellt der Beschwerdeführer keine persönlichen Interessen gegenüber, die im Rahmen des vorliegenden Verfahrens berücksichtigt werden könnten. Das Bundesverwaltungsgericht kommt daher zum Schluss, dass das gegen den Beschwerdeführer verhängte und auf drei Jahre befristete Einreiseverbot eine verhältnismässige und angemessene Massnahme zum Schutze der öffentlichen Sicherheit und Ordnung darstellt.</w:t>
      </w:r>
    </w:p>
    <w:p>
      <w:r>
        <w:rPr>
          <w:b/>
        </w:rPr>
        <w:t>E. 6</w:t>
      </w:r>
    </w:p>
    <w:p>
      <w:r>
        <w:t>Die Vorinstanz hat in der angefochtenen Verfügung ferner die Ausschreibung des Einreiseverbots im SIS II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 wie oben ausgeführt - von einer nicht unbeachtlichen Gefährdung der öffentlichen Sicherheit und Ordnung auszugehen, zum andern hat die Schweiz die Interessen der Gesamtheit aller Schengen-Staaten zu wahren (vgl. BVGE 2011/48 E. 6.1). Es bleibt diesen jedoch unbenommen, der ausgeschriebenen Person bei Vorliegen besonderer Gründe die Einreise ins eigene Hoheitsgebiet zu gestatten (vgl. auch Art. 67 Abs. 5 AuG). Die Voraussetzungen für die Ausschreibung im SIS sind demnach erfüllt.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