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F-2536/2025 vom 6. Mai 2025</w:t>
      </w:r>
    </w:p>
    <w:p>
      <w:r>
        <w:t>Bundesverwaltungsgericht, 2025-05-06, FR</w:t>
      </w:r>
    </w:p>
    <w:p>
      <w:r>
        <w:rPr>
          <w:b/>
        </w:rPr>
        <w:t xml:space="preserve">Quelle: </w:t>
      </w:r>
      <w:r>
        <w:t>https://mcp.opencaselaw.ch/entscheid/bvger_F-2536_2025</w:t>
      </w:r>
    </w:p>
    <w:p>
      <w:r>
        <w:t>FR: TAF F-2536/2025 du 6 mai 2025</w:t>
      </w:r>
    </w:p>
    <w:p>
      <w:r>
        <w:t>IT: TAF F-2536/2025 del 6 maggio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Le recourant a qualité pour recourir (art. 48 al. 1 PA). Présenté dans la forme (art. 52 al. 1 PA) et le délai (art. 108 al. 2 in fine LAsi) prescrits par la loi, son recours est sur ces points recevable.</w:t>
      </w:r>
    </w:p>
    <w:p>
      <w:r>
        <w:rPr>
          <w:b/>
        </w:rPr>
        <w:t>E. 2.1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 RS 142.311]).</w:t>
      </w:r>
    </w:p>
    <w:p>
      <w:r>
        <w:rPr>
          <w:b/>
        </w:rPr>
        <w:t>E. 2.2</w:t>
      </w:r>
    </w:p>
    <w:p>
      <w:r>
        <w:t>Le requérant ne peut attaquer la décision d’attribution que pour violation du principe de l’unité de la famille (art. 27 al. 3 in fine LAsi ; cf. ATAF 2008/47 consid. 1.2). En règle générale, on entend par famille les</w:t>
      </w:r>
    </w:p>
    <w:p>
      <w:r>
        <w:t>F-2536/2025 Page 4 conjoints et leurs enfants mineurs ainsi que les partenaires enregistrés ; les personnes qui vivent en concubinage de manière durable sont assimilées aux conjoints (art. 1a let. e OA 1). Il s’agit-là d’une condition de recevabilité du recours (cf. ATAF 2012/2 consid. 2.2 ; arrêt du TAF F-8237/2024 du 26 février 2025 et réf. cit.). Les griefs formels invoqués dans le cadre d’une telle procédure ne sont en outre recevables que pour autant qu’ils se rapportent au principe de l’unité de la famille (cf. ATAF 2008/47 consid. 1.3 ; ATAF 2009/54 consid. 1.3.1, et 2008/47 consid. 4.1.1 à 4.1.4). Dans la mesure où l’intéressé a fait valoir la violation de son droit d’être entendu en lien avec le respect de l’unité de la famille, le présent recours entre dans le pouvoir de cognition du Tribunal (cf. F-4974/2022 du 17 novembre 2022 consid. 4).</w:t>
      </w:r>
    </w:p>
    <w:p>
      <w:r>
        <w:rPr>
          <w:b/>
        </w:rPr>
        <w:t>E. 2.3</w:t>
      </w:r>
    </w:p>
    <w:p>
      <w:r>
        <w:t>Il convient par ailleurs d’examiner en premier lieu ce grief formel, qui est susceptible d’entraîner l’annulation de la décision querellée indépendamment des chances de succès du recours sur le fond (cf. ATF 144 I 11 consid. 5.3 et la jurisp. cit. ; ATAF 2019 VII/6 consid. 4.1).</w:t>
      </w:r>
    </w:p>
    <w:p>
      <w:r>
        <w:rPr>
          <w:b/>
        </w:rPr>
        <w:t>E. 3</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w:t>
      </w:r>
    </w:p>
    <w:p>
      <w:r>
        <w:rPr>
          <w:b/>
        </w:rPr>
        <w:t>E. 3.1</w:t>
      </w:r>
    </w:p>
    <w:p>
      <w:r>
        <w:t>En l’occurrence, il ressort du dossier de l’autorité inférieure que le recourant avait déjà invoqué, lors de l’entretien individuel « Dublin » du 16 décembre 2024, l’existence d’un lien de dépendance avec sa famille. Dès son arrivée en Suisse, il a ainsi insisté plusieurs fois sur la dégradation de sa santé mentale, relevant d’emblée qu’il comptait énormément sur le soutien de ses parents pour son équilibre quotidien. Un certificat médical, établi au Sri Lanka et remis au SEM par l’intéressé, corrobore par ailleurs ces déclarations. Le procès-verbal de l’entretien susmentionné indique à ce titre que le requérant a « supplié » la collaboratrice du SEM qui le questionnait de le « laisser en Suisse auprès de ses parents ». L’intéressé a également, de manière répétée, affirmé qu’il souffrait psychologiquement d’être séparé de ses parents. Les troubles mentaux du recourant ont par ailleurs été évalués à plusieurs reprises dans le courant des mois de janvier à avril 2025 et constatés dans des rapports médicaux transmis à Medic-Help, dans le cadre de la prise en charge de ce dernier par le Centre fédéral pour requérants d’asile de Boudry. Il ressort des procès-verbaux de ces consultations médicales, versés au dossier du SEM, une « amélioration de la symptomatologie quand [le requérant] est avec ses parents, les weekends » ainsi qu’un désir réitéré de ce dernier de rejoindre sa famille (cf. formulaire F2 du 6 janvier 2025, No 1382153-17/7). Force est dès lors de constater que le recourant a ainsi fait valoir le principe de l’unité de la famille dès le début de la procédure et que les circonstances personnelles et familiales de ce dernier étaient connues du SEM.</w:t>
      </w:r>
    </w:p>
    <w:p>
      <w:r>
        <w:rPr>
          <w:b/>
        </w:rPr>
        <w:t>E. 3.2</w:t>
      </w:r>
    </w:p>
    <w:p>
      <w:r>
        <w:t>Or, la décision d’attribution du 3 avril 2025 ne fait aucune mention des éléments précités. Rendue au moyen d’un formulaire standardisé, elle ne contient aucune motivation propre au cas d’espèce et se limite à indiquer l’absence pour le recourant d’un intérêt digne de protection qui exigerait de l’attribuer à un canton déterminé. Il ne ressort ainsi nullement de la décision querellée que l’autorité intimée se serait livrée à une analyse</w:t>
      </w:r>
    </w:p>
    <w:p>
      <w:r>
        <w:t>F-2536/2025 Page 6 individualisée de sa situation familiale. En particulier, le SEM ne s’est pas prononcé sur l’existence d’un lien de dépendance pouvant justifier la réunification de l’intéressé avec sa famille. Une telle manière de procéder est, indépendamment de l’issue de l’examen, à l’évidence contraire aux exigences jurisprudentielles précitées (cf. consid. 3 supra).</w:t>
      </w:r>
    </w:p>
    <w:p>
      <w:r>
        <w:rPr>
          <w:b/>
        </w:rPr>
        <w:t>E. 3.3</w:t>
      </w:r>
    </w:p>
    <w:p>
      <w:r>
        <w:t>Le droit d’être entendu est une garantie de nature formelle, dont la violation entraîne en règle générale, comme le Tribunal l’a évoqué, l’annulation de la décision attaquée, en principe indépendamment des chances de succès du recours sur le fond (cf. ATF 143 IV 380 consid. 1.4.1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w:t>
      </w:r>
    </w:p>
    <w:p>
      <w:r>
        <w:rPr>
          <w:b/>
        </w:rPr>
        <w:t>E. 3.4</w:t>
      </w:r>
    </w:p>
    <w:p>
      <w:r>
        <w:t>Par conséquent, il y a lieu d’admettre le recours du 10 avril 2025 dirigé contre la décision d’attribution du 3 avril 2025, pour violation du droit fédéral (art. 106 al. 1 let. a LAsi), de renvoyer la cause au SEM pour nouvelle décision dûment motivée (art. 61 al. 1 PA) et de l’inviter à modifier sa pratique problématique.</w:t>
      </w:r>
    </w:p>
    <w:p>
      <w:r>
        <w:rPr>
          <w:b/>
        </w:rPr>
        <w:t>E. 3.5</w:t>
      </w:r>
    </w:p>
    <w:p>
      <w:r>
        <w:t>Au vu de l’issue de la présente procédure, le Tribunal peut se dispenser d’examiner les autres griefs, matériels et formels, invoqués dans le recours précité.</w:t>
      </w:r>
    </w:p>
    <w:p>
      <w:r>
        <w:rPr>
          <w:b/>
        </w:rPr>
        <w:t>E. 3.6</w:t>
      </w:r>
    </w:p>
    <w:p>
      <w:r>
        <w:t>S’avérant manifestement fondé, le recours est admis dans une procédure à juge unique, avec l’approbation d’un second juge (art. 111 let. e LAsi). Le présent arrêt n’est motivé que sommairement et il est renoncé à procéder à un échange d’écritures (art. 111a al. 1 et 2 LAsi).</w:t>
      </w:r>
    </w:p>
    <w:p>
      <w:r>
        <w:rPr>
          <w:b/>
        </w:rPr>
        <w:t>E. 3.7</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t>F-2536/2025 Page 7</w:t>
      </w:r>
    </w:p>
    <w:p>
      <w:r>
        <w:rPr>
          <w:b/>
        </w:rPr>
        <w:t>E. 3.8</w:t>
      </w:r>
    </w:p>
    <w:p>
      <w:r>
        <w:t>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formulé une telle conclusion. (dispositif page suivante)</w:t>
      </w:r>
    </w:p>
    <w:p>
      <w:r>
        <w:t>F-2536/2025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