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F-2529/2019 vom 7. Dezember 2020</w:t>
      </w:r>
    </w:p>
    <w:p>
      <w:r>
        <w:t>Bundesverwaltungsgericht, 2020-12-07, DE</w:t>
      </w:r>
    </w:p>
    <w:p>
      <w:r>
        <w:rPr>
          <w:b/>
        </w:rPr>
        <w:t xml:space="preserve">Quelle: </w:t>
      </w:r>
      <w:r>
        <w:t>https://mcp.opencaselaw.ch/entscheid/bvger_F-2529_2019</w:t>
      </w:r>
    </w:p>
    <w:p>
      <w:r>
        <w:t>FR: TAF F-2529/2019 du 7 décembre 2020</w:t>
      </w:r>
    </w:p>
    <w:p>
      <w:r>
        <w:t>IT: TAF F-2529/2019 del 7 dicembre 2020</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des angefochtenen Entscheids, der ein schutzwürdiges Interesse an dessen Änderung oder Aufhebung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Zu prüfen ist vorab, ob die Vorinstanz - wie vom Beschwerdeführer geltend gemacht - seinen Anspruch auf rechtliches Gehör verletzt hat.</w:t>
      </w:r>
    </w:p>
    <w:p>
      <w:r>
        <w:rPr>
          <w:b/>
        </w:rPr>
        <w:t>E. 3.1</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(Art. 32 VwVG). Die Begründung (Art. 35 Abs. 1 VwVG)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141 V 557 E. 3.2.1; 136 I 184 E. 2.2.1).</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117E. 4.2.2.2; 133 I 201 E. 2.2).</w:t>
      </w:r>
    </w:p>
    <w:p>
      <w:r>
        <w:rPr>
          <w:b/>
        </w:rPr>
        <w:t>E. 3.3</w:t>
      </w:r>
    </w:p>
    <w:p>
      <w:r>
        <w:t>Der Beschwerdeführer macht geltend, die Vorinstanz habe seine Stellungnahme vom 18. April 2019 in der angefochtenen Verfügung nicht berücksichtigt und keine Interessenabwägung vorgenommen.</w:t>
      </w:r>
    </w:p>
    <w:p>
      <w:r>
        <w:rPr>
          <w:b/>
        </w:rPr>
        <w:t>E. 3.3.1</w:t>
      </w:r>
    </w:p>
    <w:p>
      <w:r>
        <w:t>Die Vorinstanz hat in der angefochtenen Verfügung festgehalten, die im Rahmen des rechtlichen Gehörs gemachten Angaben des Beschwerdeführers vermöchten keinen anderen Entscheid als den angefochtenen zu rechtfertigen. Daraus ist ersichtlich, dass sie die Ausführungen des Beschwerdeführers in seiner Stellungnahme vom 18. April 2019 gemäss Art. 32 Abs. 1 VwVG im Rahmen ihrer Entscheidfindung berücksichtigt hat. Sie benannte indessen weder die privaten Interessen des Beschwerdeführers noch stellte sie diese den öffentlichen Interessen (welche sie ausführlich darlegt) gegenüber. Vielmehr stellte sie auf das deliktische Verhalten des Beschwerdeführers ab und kam zum Schluss, das daraus resultierende öffentliche Interesse an seiner Wegweisung stehe seinen (nicht spezifizierten) privaten Interessen entgegen. Dadurch hat sie ihre Begründungspflicht (Art. 35 Abs. 1 VwVG) und somit den Anspruch des Beschwerdeführers auf rechtliches Gehör - wenn auch nicht in schwerwiegender Weise - verletzt.</w:t>
      </w:r>
    </w:p>
    <w:p>
      <w:r>
        <w:rPr>
          <w:b/>
        </w:rPr>
        <w:t>E. 3.3.2</w:t>
      </w:r>
    </w:p>
    <w:p>
      <w:r>
        <w:t>In Bezug auf das öffentliche Interesse an der Fernhaltung gilt es festzuhalten, dass das Bundesverwaltungsgericht verschiedentlich darauf hingewiesen hat, dass das SEM bei einem Einreiseverbot von mehr als 5 Jahren Dauer eine Gefährdungsprognose zu erstellen und nachvollziehbar darzulegen hat, weshalb von einer aktuellen und schwerwiegenden Gefahr auszugehen ist (vgl. Urteil des BVGer C-4898/2012 vom 1. Mai 2014 E. 3.3). In casu hat das SEM seine Verfügung in dieser Hinsicht knapp, aber rechtsgenüglich begründet.</w:t>
      </w:r>
    </w:p>
    <w:p>
      <w:r>
        <w:rPr>
          <w:b/>
        </w:rPr>
        <w:t>E. 3.3.3</w:t>
      </w:r>
    </w:p>
    <w:p>
      <w:r>
        <w:t>Eine Interessenabwägung erfolgte dagegen erst in der Vernehmlassung, in deren Rahmen die Vorinstanz ergänzende Ausführungen zu den privaten Interessen des Beschwerdeführers machte. Sie verwies dabei auf das Urteil des Bundesgerichts 2C_393/2017 vom 5. April 2018, was mit Blick auf den Umstand, dass sich im Verfahren betreffend Widerruf der Niederlassungsbewilligung sowohl die kantonalen Behörden als auch das Bundesgericht eingehend mit eng verwandten Rechtsfragen auseinandergesetzt hatten und der Beschwerdeführer noch immer durch die gleiche Anwältin vertreten wird, statthaft ist (vgl. dazu Urteil des BVGerF-3419/2014 vom 16. Januar 2017 E. 3.4). Nachdem der Beschwerdeführer sich im Verfahren vor dem Bundesverwaltungsgericht, dessen Kognition im Vergleich zur Vorinstanz nicht eingeschränkt ist (vgl. E. 2), zur nachgeschobenen Begründung in der Vernehmlassung äussern konnte, ist der leichte Mangel in der Begründung der angefochtenen Verfügung als im Beschwerdeverfahren geheilt zu betrachten.</w:t>
      </w:r>
    </w:p>
    <w:p>
      <w:r>
        <w:rPr>
          <w:b/>
        </w:rPr>
        <w:t>E. 3.4</w:t>
      </w:r>
    </w:p>
    <w:p>
      <w:r>
        <w:t>Der Beschwerdeführer führt ferner an, die Vorinstanz habe auf die beantragte Anhörung seines Sohnes verzichtet. Dadurch habe sie Art. 12 des Übereinkommens vom 20. November 1989 über die Rechte des Kindes (KRK; SR 0.107) verletzt. Ferner sei auch seine Ehefrau nicht angehört worden.</w:t>
      </w:r>
    </w:p>
    <w:p>
      <w:r>
        <w:rPr>
          <w:b/>
        </w:rPr>
        <w:t>E. 3.4.1</w:t>
      </w:r>
    </w:p>
    <w:p>
      <w:r>
        <w:t>Gemäss Art. 12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(Abs. 1). Zu diesem Zweck wird dem Kind insbesondere Gelegenheit gegeben, in allen das Kind berührenden Gerichts- oder Verwaltungsverfahren entweder unmittelbar oder durch einen Vertreteroder eine geeignete Stelle im Einklang mit den innerstaatlichen Verfahrensvorschriften gehört zu werden (Abs. 2). Im ausländerrechtlichen Verfahren kann von der Anhörung des Kindes abgesehen werden, wenn die zu den Anliegen der Eltern parallel liegenden Kindesinteressen durch ihre Eltern eingebracht werden, sofern der rechtserhebliche Sachverhalt auch ohne die persönliche Anhörung rechtsgenüglich festgestellt werden kann (vgl. BGE 144 II 1 E. 6.5; 124 II 361 E. 3c).</w:t>
      </w:r>
    </w:p>
    <w:p>
      <w:r>
        <w:rPr>
          <w:b/>
        </w:rPr>
        <w:t>E. 3.4.2</w:t>
      </w:r>
    </w:p>
    <w:p>
      <w:r>
        <w:t>Der anwaltlich vertretene Beschwerdeführer hatte im gesamten Verfahren die Möglichkeit, die Kindesinteressen einzubringen. Dies hat er auch in verschiedenen Eingaben getan. Auch seine Ehefrau hat in ihrem Brief an das SEM vom 18. April 2019 ausführlich ihre Sicht der Dinge sowie diejenige des gemeinsamen Sohnes dargelegt. Entsprechend waren von einer persönlichen Anhörung des Sohnes und der Ehefrau keine weiterführenden Erkenntnisse zu erwarten, weshalb die Vorinstanz darauf verzichten durfte. Eine Verletzung des rechtlichen Gehörs liegt insofern nicht vor.</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Erst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erscheint vielmehr, wie lange sich die betroffene Person nach ihrer Entlassung aus der Haft in Freiheit bewährt hat (vgl. BVGE 2014/20 E. 5.4).</w:t>
      </w:r>
    </w:p>
    <w:p>
      <w:r>
        <w:rPr>
          <w:b/>
        </w:rPr>
        <w:t>E. 4.2</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7. Aufl. 2016, Rz. 555 ff.).</w:t>
      </w:r>
    </w:p>
    <w:p>
      <w:r>
        <w:rPr>
          <w:b/>
        </w:rPr>
        <w:t>E. 4.3</w:t>
      </w:r>
    </w:p>
    <w:p>
      <w:r>
        <w:t>Die verfügende Behörde kann ausnahmsweise aus humanitären oder anderen wichtigen Gründen von der Verhängung eines Einreiseverbotes absehen oder ein Einreiseverbot endgültig oder vorübergehend aufheben (Art. 67 Abs. 5 erster Satz AIG).</w:t>
      </w:r>
    </w:p>
    <w:p>
      <w:r>
        <w:rPr>
          <w:b/>
        </w:rPr>
        <w:t>E. 5.1</w:t>
      </w:r>
    </w:p>
    <w:p>
      <w:r>
        <w:t>Die Vorinstanz verweist zur Begründung ihres Entscheids auf die zahlreichen Verurteilungen des Beschwerdeführers und führt aus, die aufgezählten Delikte würden eine schwerwiegende Gefährdung der öffentlichen Sicherheit und Ordnung darstellen.</w:t>
      </w:r>
    </w:p>
    <w:p>
      <w:r>
        <w:rPr>
          <w:b/>
        </w:rPr>
        <w:t>E. 5.2</w:t>
      </w:r>
    </w:p>
    <w:p>
      <w:r>
        <w:t>Der Beschwerdeführer führt dagegen an, zum heutigen Zeitpunkt gehe von ihm keine Gefahr mehr für die öffentliche Sicherheit und Ordnung aus und es sei von einer positiven Legalprognose auszugehen. Er habe seine Suchttherapie erfolgreich abgeschlossen und sogar von sich aus eine Verlängerung der Massnahme um ein Jahr gewünscht, da er seine Sucht endgültig habe überwinden wollen. Er habe unter Beweis gestellt, dass er trotz der erheblichen Freiheiten, die er im Massnahmevollzug genossen habe, keine Gefahr mehr für Dritte darstelle und nicht nur deliktfrei leben wolle, sondern auch könne. Zudem lägen die Delikte, welche zur Verurteilung durch das Kriminalgericht geführt hätten, fünf bis sieben Jahre zurück. Schliesslich sei er auch selbständig ausgereist, was zeige, dass von ihm keine Ordnungswidrigkeiten zu erwarten seien. Eventualiter sei das Einreiseverbot auf ein Jahr zu reduzieren.</w:t>
      </w:r>
    </w:p>
    <w:p>
      <w:r>
        <w:rPr>
          <w:b/>
        </w:rPr>
        <w:t>E. 5.3</w:t>
      </w:r>
    </w:p>
    <w:p>
      <w:r>
        <w:t>Der Beschwerdeführer wurde über 25 Mal verurteilt. Weder die ausgesprochenen Strafen noch die ausländerrechtlichen Verwarnungen hielten ihn davon ab, weitere Straftaten zu begehen. Deren Schwere nahm sogar zu, wurde er doch mit Urteil des Kriminalgerichts des Kantons Luzern vom 26. März 2015 wegen Raubes, räuberischen Diebstahls, mehrfachen Diebstahls, Sachbeschädigung, mehrfacher Hehlerei, mehrfachen Hausfriedensbruchs, mehrfacher Widerhandlung gegen das WG, mehrfacher Tätlichkeiten, geringfügigen Diebstahls und geringfügiger Sachbeschädigung zu einer Freiheitsstrafe von zwei Jahren und acht Monaten, aufgeschoben zu Gunsten einer stationären Massnahme, sowie zu einer Busse von Fr. 500.- verurteilt. Das Gericht berücksichtigte die diagnostizierte Drogenabhängigkeit und stellte eine in mittlerem Grade verminderten Schuldfähigkeit fest. Es kam zum Schluss, es könne nicht vom Fehlen einer ungünstigen Legalprognose ausgegangen werden. Zudem wurde der Beschwerdeführer - während des Massnahmevollzugs - mit Strafbefehl vom 22. September 2017 wegen Verstössen gegen das BetmG verurteilt.</w:t>
      </w:r>
    </w:p>
    <w:p>
      <w:r>
        <w:rPr>
          <w:b/>
        </w:rPr>
        <w:t>E. 5.4</w:t>
      </w:r>
    </w:p>
    <w:p>
      <w:r>
        <w:t>Der lange Zeitraum und die Delikte, welche in der bisher schwersten Verurteilung vom 26. März 2015 kulminierten, und die der Beschwerdeführer trotz vorangegangener Verurteilungen und mehrerer Verwarnungen durch das Migrationsamt beging, lassen auf seine Unwilligkeit oder Unfähigkeit schliessen, sich an die Rechtsordnung zu halten. Zu Gunsten des Beschwerdeführers ist immerhin zu berücksichtigen, dass die BetmG-Delikte zur Hauptsache im Zusammenhang mit dem Konsum und nicht dem Handel von Betäubungsmitteln standen. Gleichzeitig ist aber nicht aus dem Blick zu verlieren, dass er neben den zahlreichen Vermögensdelikten auch Straftaten gegen die Freiheit (Drohung) und gegen Leib und Leben (Tätlichkeiten und einfache Körperverletzung) begangen hat. Damit hat er hochwertige Rechtsgüter verletzt. Die zu befürchtende Fremdgefährdung ist somit nicht zu relativieren. Zu berücksichtigen ist auch, dass der VBD am 30. Oktober 2018 die stationäre Massnahme, in welcher sich der Beschwerdeführer befand, wegen Aussichtslosigkeit aufhob und dieser sogar während des Massnahmevollzugs straffällig wurde (vgl. Strafbefehl vom 22. September 2017). Bemerkenswert ist aber, dass der Beschwerdeführer darauf bestanden hatte, die Massnahme fortzusetzen, was von einem aufrichtigen Willen zeugt, seine Drogenabhängigkeit zu überwinden. So hat er denn auch gemäss undatiertem Diplom des Therapiezentrums C._______ die Suchttherapie schlussendlich erfolgreich abgeschlossen, was einen bedeutenden Schritt darstellt, um künftig deliktfrei leben zu können, stand seine Straffälligkeit doch in erster Linie im Zusammenhang mit seiner Drogenabhängigkeit. Ob es sich um eine nachhaltige Entwicklung handelt, wird sich angesichts der mehrfachen Rückfälle des Beschwerdeführers während der Therapie (vgl. Entscheid des Vollzugs- und Bewährungsdienstes des Kantons Luzern vom 30. Oktober 2018) noch zeigen müssen. Aus dem Umstand, dass die durch das Kriminalgericht des Kantons Luzern beurteilten Straftaten zwischen sechs und acht Jahre zurückliegen, kann er nichts zu seinen Gunsten ableiten, wurde er doch im Jahr 2017 erneut straffällig. Zudem befand er sich bis Mai 2019 im Massnahmevollzug und verliess im selben Monat die Schweiz. Der Zeitraum seit der Entlassung aus dem Massnahmevollzug ist angesichts seiner langjährigen und sich steigernden Straffälligkeit noch zu kurz, als dass bereits davon ausgegangen werden könnte, von ihm gehe keine Gefahr mehr für die öffentliche Sicherheit und Ordnung aus (vgl. BVGE 2013/4 E. 7.2.4). Die Aufnahme einer Arbeitstätigkeit im Kosovo sagt entgegen seiner Ansicht noch nichts über seine Gefährlichkeit aus, hielten ihn doch seine Anstellungen in der Schweiz auch nicht von der Begehung von Straftaten ab.</w:t>
      </w:r>
    </w:p>
    <w:p>
      <w:r>
        <w:rPr>
          <w:b/>
        </w:rPr>
        <w:t>E. 5.5</w:t>
      </w:r>
    </w:p>
    <w:p>
      <w:r>
        <w:t>Der Beschwerdeführer hat mit seinen Straftaten in der Schweiz gegen die öffentliche Sicherheit und Ordnung verstossen, weshalb die Verhängung eines Einreiseverbotes gerechtfertigt ist (Art. 67 Abs. 2 Bst. a AIG). Das Gesagte führt ferner zum Schluss, dass aus ausländerrechtlicher Sicht zum jetzigen Zeitpunkt keine positive Prognose gestellt werden kann und vom Beschwerdeführer eine schwerwiegende Gefahr für die öffentliche Sicherheit und Ordnung im Sinne von Art. 67 Abs. 3 zweiter Satz AIG ausgeht, weshalb ein die Regelmaximaldauer von fünf Jahren übersteigendes Einreiseverbot gerechtfertigt erscheint.</w:t>
      </w:r>
    </w:p>
    <w:p>
      <w:r>
        <w:rPr>
          <w:b/>
        </w:rPr>
        <w:t>E. 6</w:t>
      </w:r>
    </w:p>
    <w:p>
      <w:r>
        <w:t>Bei der Festlegung der Dauer des Einreiseverbots kommt dem Grundsatz der Verhältnismässigkeit zentrale Bedeutung zu (vgl. E. 4.2).</w:t>
      </w:r>
    </w:p>
    <w:p>
      <w:r>
        <w:rPr>
          <w:b/>
        </w:rPr>
        <w:t>E. 6.1</w:t>
      </w:r>
    </w:p>
    <w:p>
      <w:r>
        <w:t>Vom Beschwerdeführer geht eine schwerwiegende Gefahr für die öffentliche Sicherheit und Ordnung aus. Dies wurde unter dem Gesichtspunkt der Eingriffsvoraussetzungen ausführlich dargelegt (vgl. E. 5), sodass an dieser Stelle auf Wiederholungen verzichtet und auf die genannten Ausführungen verwiesen werden kann. Es besteht somit ein erhebliches öffentliches Interesse an einer langfristigen Fernhaltung des Beschwerdeführers.</w:t>
      </w:r>
    </w:p>
    <w:p>
      <w:r>
        <w:rPr>
          <w:b/>
        </w:rPr>
        <w:t>E. 6.2</w:t>
      </w:r>
    </w:p>
    <w:p>
      <w:r>
        <w:t>Den öffentlichen Interessen sind die privaten Interessen des Beschwerdeführers gegenüberzustellen. Er beruft sich auf Art. 8 EMRK und führt an, seine Ehefrau und sein Sohn, welche beide Schweizer Bürger seien, würden in der Schweiz leben. Er selbst sei im Alter von neun Jahren in die Schweiz eingereist und habe seither 30 Jahre hier verbracht. Deutsch sei seine Muttersprache, er sei hier sozialisiert und kulturell verwurzelt. Zu seinen Eltern und Geschwistern pflege er eine enge Beziehung. Während der Zeit des Freiheitsentzuges habe er die Beziehung zu seinem Sohn intensiv gepflegt. Dessen Interessen seien von der Vorinstanz nicht genügend berücksichtigt worden, weshalb sie Art. 3 und Art. 16 KRK verletzt habe. Als seine Ehefrau an Krebs erkrankt sei, habe er alles daran gesetzt, sie zu unterstützen und ein verlässlicher Vater zu sein. Für seinen Sohn sei er eine Hauptbezugsperson. Seiner Ehefrau sei es aufgrund der Krebserkrankung nicht möglich, in den Kosovo zu reisen, weshalb es für ihn zentral sei, in die Schweiz kommen zu können. Wegen möglicher Spitalaufenthalte seiner Ehefrau und dem daraus resultierenden Besuchs- und Betreuungsbedarf sei auch die Möglichkeit kurzfristiger Reisen zentral. Seine privaten Interessen würden allfällige öffentliche Interessen am Erlass eines Einreiseverbotes klar überwiegen.</w:t>
      </w:r>
    </w:p>
    <w:p>
      <w:r>
        <w:rPr>
          <w:b/>
        </w:rPr>
        <w:t>E. 6.3</w:t>
      </w:r>
    </w:p>
    <w:p>
      <w:r>
        <w:t>Durch den Widerruf der Niederlassungsbewilligung hat der Beschwerdeführer das Aufenthaltsrecht in der Schweiz verloren.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w:t>
      </w:r>
    </w:p>
    <w:p>
      <w:r>
        <w:rPr>
          <w:b/>
        </w:rPr>
        <w:t>E. 6.4</w:t>
      </w:r>
    </w:p>
    <w:p>
      <w:r>
        <w:t>Der Beschwerdeführer ist als neunjähriges Kind in die Schweiz eingereist und lebte damit während rund 30 Jahren hier. Seine prägenden Jugendjahre hat er in der Schweiz verbracht. Sprachlich ist er bestens integriert. Hingegen kann nicht von einer gelungenen wirtschaftlichen Integration gesprochen werden, wurden gegen ihn doch Verlustscheine in der Höhe von insgesamt Fr. 49'816.- ausgestellt. Seine Schweizer Ehefrau und sein Sohn sowie seine Geschwister leben hier. Der Kontakt zu seiner Familie ist für ihn gewiss von nicht zu vernachlässigender Bedeutung, wobei darauf hinzuweisen ist, dass die Beziehung aufgrund seiner Drogenabhängigkeit und seiner Straffälligkeit stark strapaziert worden ist, so dass seine Ehefrau nach Geburt des Kindes aus der gemeinsamen Wohnung ausgezogen war. Mittlerweile soll sich das Verhältnis jedoch stark verbessert haben und der Beschwerdeführer habe seine Ehefrau, die im (...) an Krebs erkrankt ist, so gut er konnte, unterstützt und entlastet (vgl. Schreiben der Ehefrau des Beschwerdeführers an die Vorinstanz vom 18. April 2019). Obwohl den Akten keine Angaben zu Art und Stadium der Krebserkrankung zu entnehmen sind, ist dennoch davon auszugehen, dass die Ehefrau des Beschwerdeführers nur eingeschränkt mobil ist und ihn damit nicht nach Belieben im Kosovo besuchen kann, was eine zusätzliche Erschwernis darstellt. Das Einreiseverbot kann jedoch zur Wahrnehmung von Besuchen von Familienangehörigen auf begründetes Gesuch hin für eine kurze Zeitspanne suspendiert werden (vgl. E. 4.3). Dies gilt insbesondere, wenn - wie hier - ein Familienmitglied erkrankt ist. Nicht beeinträchtigt wird ferner die Pflege der Kontakte auf andere Weise als durch persönliche Treffen, namentlich mittels moderner Kommunikationsmittel. Durch diese Möglichkeiten ist auch für die Ehefrau und den Sohn ein gewisses Mass an Familienleben, bei dem das gemäss Art. 3 Abs. 1 des Übereinkommens vom 20. November 1989 über die Rechte des Kindes (KRK, SR 0.107) zu berücksichtigende Kindeswohl nicht ausser Acht gelassen wird, gewährleistet. Ergänzend ist darauf hinzuweisen, dass das Familienleben durch die Inhaftierung des Beschwerdeführers bereits vorangehend für längere Zeit erschwert war und dass ihn die Geburt seines Sohnes nicht von weiteren Straftaten abgehalten hatte. Zu betonen ist jedoch, dass der Beschwerdeführer seine Lebenssituation (zumindest vorläufig) stabilisiert hat und offensichtlich bemüht ist, seine Familie nach Kräften zu unterstützen. Zusammenfassend sind seine privaten Interessen aufgrund seiner langjährigen Anwesenheit in der Schweiz und seiner familiären Verhältnisse bedeutend.</w:t>
      </w:r>
    </w:p>
    <w:p>
      <w:r>
        <w:rPr>
          <w:b/>
        </w:rPr>
        <w:t>E. 6.5</w:t>
      </w:r>
    </w:p>
    <w:p>
      <w:r>
        <w:t>Nach Abwägung der sich gegenüberstehenden Interessen und unter Berücksichtigung der Praxis in ähnlich gelagerten Fällen erweist sich die -durch die Vorinstanz nur rudimentär begründete - Dauer des Einreiseverbotes von zehn Jahren als unverhältnismässig (vgl. Urteile des BVGerF-3527/2015 vom 24. März 2017 [achtjähriges Einreiseverbot, langjährige Straffälligkeit und Verurteilung wegen schwerer Körperverletzung, Freiheitsberaubung, Entführung und versuchter Nötigung zu drei Jahren Freiheitsstrafe, als Kind in die Schweiz gekommen, Eltern, Geschwister und Schweizer Verlobte in der Schweiz], C-2524/2012 vom 8. Dezember 2014 [Einreiseverbot von zehn Jahren, langjährige Straffälligkeit, Verurteilung zu dreieinhalb Jahren Freiheitsstrafe u.a. wegen mehrfachen Diebstahls, einfacher Körperverletzung, mehrfachen Angriffs, Nötigung, mehrerer Widerhandlungen gegen das SVG und das BetmG, seit Kindheit in der Schweiz, Eltern und Geschwister in der Schweiz], F-6623/2016 vom 22. März 2018 [Reduktion des Einreiseverbotes von zwölf auf acht Jahre, wiederholte Straffälligkeit, Verurteilung u.a. wegen versuchter vorsätzlicher Tötung zu fünfeinhalb Jahren Freiheitsstrafe, Ehefrau und zwei Kinder in der Schweiz], F-6284/2017 vom 20. Dezember 2018 [fünfjähriges Einreiseverbot, Verurteilung im Ausland wegen Totschlags, an Krebs erkrankte Ehefrau in der Schweiz mit zwei Kindern aus einer früheren Beziehung] oder F-4301/2018 vom 24. Mai 2019 [Reduktion des Einreiseverbotes von zehn auf acht Jahre, wiederholte Straffälligkeit, Verurteilung u.a. wegen qualifizierten Raubes zu vier Jahren Freiheitsstrafe, Ehefrau und zwei Kinder, davon eines schwer krank, in der Schweiz]). Mit Blick auf diese Praxis ist - unter Berücksichtigung des Ermessensspielraums der Vorinstanz - die Dauer des Einreiseverbots von zehn Jahren auf acht Jahre zu reduzieren.</w:t>
      </w:r>
    </w:p>
    <w:p>
      <w:r>
        <w:rPr>
          <w:b/>
        </w:rPr>
        <w:t>E. 7</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8</w:t>
      </w:r>
    </w:p>
    <w:p>
      <w:r>
        <w:t>Aus diesen Erwägungen ergibt sich, dass das angefochtene Einreiseverbot dem Grundsatz nach zu bestätigen ist, die festgelegte Dauer jedoch Bundesrecht verletzt, soweit sie über acht Jahre hinausgeht (vgl. Art. 49 VwVG). Entsprechend ist die Beschwerde teilweise gutzuheissen und die Dauer des Einreiseverbotes auf acht Jahre - bis zum 6. Mai 2027 - zu befristen.</w:t>
      </w:r>
    </w:p>
    <w:p>
      <w:r>
        <w:rPr>
          <w:b/>
        </w:rPr>
        <w:t>E. 9.1</w:t>
      </w:r>
    </w:p>
    <w:p>
      <w:r>
        <w:t>Entsprechend dem Ausgang des vorliegenden Verfahrens sind dem Beschwerdeführer im Umfang des Unterliegens (ermässigte) Verfahrenskosten, welche sich vorliegend auf Fr. 800.- belaufen, aufzuerlegen (Art. 63 Abs. 1 VwVG i.V.m. Art. 1 ff. des Reglements vom 21. Februar 2008 über die Kosten und Entschädigungen vor dem Bundesverwaltungsgericht [VGKE, SR 173.320.2]).</w:t>
      </w:r>
    </w:p>
    <w:p>
      <w:r>
        <w:rPr>
          <w:b/>
        </w:rPr>
        <w:t>E. 9.2</w:t>
      </w:r>
    </w:p>
    <w:p>
      <w:r>
        <w:t>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(Art. 8 ff. VGKE) auf Fr. 1'500.- festzulegen. Diese ist nach Massgabe des teilweisen Obsiegens auf Fr. 300.- zu kürzen.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