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F-2524/2021 vom 12. Oktober 2022</w:t>
      </w:r>
    </w:p>
    <w:p>
      <w:r>
        <w:t>Bundesverwaltungsgericht, 2022-10-12, DE</w:t>
      </w:r>
    </w:p>
    <w:p>
      <w:r>
        <w:rPr>
          <w:b/>
        </w:rPr>
        <w:t xml:space="preserve">Quelle: </w:t>
      </w:r>
      <w:r>
        <w:t>https://mcp.opencaselaw.ch/entscheid/bvger_F-2524_2021</w:t>
      </w:r>
    </w:p>
    <w:p>
      <w:r>
        <w:t>FR: TAF F-2524/2021 du 12 octobre 2022</w:t>
      </w:r>
    </w:p>
    <w:p>
      <w:r>
        <w:t>IT: TAF F-2524/2021 del 12 ottobre 2022</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Das SEM kann Einreiseverbote gegen ausländische Personen erlassen, die gegen die öffentliche Sicherheit und Ordnung in der Schweiz oder im Ausland verstossen haben oder diese gefährden (Art. 67 Abs. 2 Bst. a AIG). Das Einreiseverbot ist keine Sanktion für vergangenes Fehlverhalten, sondern eine Massnahme zur Abwendung einer künftigen Störung der öffentlichen Sicherheit und Ordnung (BVGE 2017 VII/2 E. 4.4; 2008/24 E. 4.2). Der Begriff der öffentlichen Sicherheit und Ordnung ist weit zu fassen (BGE 147 IV 340 E. 4.7.7). Ein Verstoss dagegen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 Dabei genügt für die Anordnung eines Einreiseverbots eine Sorgfaltspflichtverletzung (vgl. statt vieler: Urteile des BVGer F-6479/2020 vom 8. September 2022 E. 3.2; F-4990/2019 vom 20. August 2021 E. 9.2; F-5468/2020 vom 17. Januar 2022 E. 3.1).</w:t>
      </w:r>
    </w:p>
    <w:p>
      <w:r>
        <w:rPr>
          <w:b/>
        </w:rPr>
        <w:t>E. 3.2</w:t>
      </w:r>
    </w:p>
    <w:p>
      <w:r>
        <w:t>Als brasilianische Staatsangehörige ist es der Beschwerdeführerin gestattet, während 90 Tagen innerhalb eines Zeitraumes von 180 Tagen bewilligungsfrei im Schengen-Raum zu sein (vgl. Urteil des BVGer F-572/2021 vom 21. September 2021 E. 5 m.H.). Sie hielt sich vom 15. August 2020 bis zum 17. September 2020 und vom 18. November 2020 bis zum 15. Mai 2021 in der Schweiz auf (BVGer-act. 5). In den 180 Tagen vor der Ausreisekontrolle am 15. Mai 2021 befand sie sich somit während 179 Tagen in der Schweiz und überschritt die Dauer des bewilligungsfreien Aufenthalts um 89 Tage. Die Beschwerdeführerin bestreitet dies nicht. Das Statthalteramt des Bezirks Bülach verurteilte sie mit Strafbefehl vom 6. Juni 2021 wegen rechtswidrigen Aufenthalts zu einer Busse von Fr. 350.-. Der Strafbefehl ist in Rechtskraft erwachsen (zur Bindung der Verwaltungsbehörde an die Sachverhaltsfeststellung und rechtliche Würdigung durch die Strafbehörde vgl. BGE 139 II 95 E. 3.2; 137 I 363 E. 2.3.2; 124 II 103 E. 1c/bb; Urteil des BVGer F-384/2019 vom 19. Februar 2020 E. 4.5.2).</w:t>
      </w:r>
    </w:p>
    <w:p>
      <w:r>
        <w:rPr>
          <w:b/>
        </w:rPr>
        <w:t>E. 3.3</w:t>
      </w:r>
    </w:p>
    <w:p>
      <w:r>
        <w:t>Für ihren Verbleib in der Schweiz nach Ablauf des bewilligungsfreien Aufenthalts macht die Beschwerdeführerin achtenswerte Beweg- und Rechtfertigungsgründe geltend.</w:t>
      </w:r>
    </w:p>
    <w:p>
      <w:r>
        <w:rPr>
          <w:b/>
        </w:rPr>
        <w:t>E. 3.3.1</w:t>
      </w:r>
    </w:p>
    <w:p>
      <w:r>
        <w:t>Die Beschwerdeführerin gibt an, Anfang Februar 2021 an einer Lungenentzündung - ein COVID-19-Test sei indes negativ verlaufen - erkrankt und deshalb vom Hausarzt ihres Partners in der Schweiz behandelt worden zu sein. Ihren für den 15. Februar 2021 geplanten Rückflug nach Brasilien habe sie deswegen auf den 15. Mai 2021 verschoben. Wäre sie Anfang Februar 2021 nicht erkrankt, wäre sie am 15. Februar 2021 zurück nach Brasilien geflogen. Die Verschiebung des Rückfluges habe es ihr zudem erlaubt, sich in der Schweiz zweimal gegen COVID-19 impfen zu lassen. Während ihres Aufenthalts in der Schweiz habe sie sich nie etwas zu Schulden kommen lassen. Sie sei stets im Besitze eines Rückflugtickets gewesen, habe sich krankenversichern lassen und immer alle Kosten bezahlt.</w:t>
      </w:r>
    </w:p>
    <w:p>
      <w:r>
        <w:rPr>
          <w:b/>
        </w:rPr>
        <w:t>E. 3.3.2</w:t>
      </w:r>
    </w:p>
    <w:p>
      <w:r>
        <w:t>Aus der Quittung eines Spitals vom 2. Februar 2021 geht hervor, dass die Beschwerdeführerin eine Vorauszahlung zur Vornahme eines freiwilligen, operativen Schwangerschaftsabbruchs leistete (vgl. BVGer-act. 11). Was es damit auf sich hat und ob eine entsprechende Behandlung in der Schweiz stattgefunden hat, erwähnt die Beschwerdeführerin in ihren Rechtsmitteleingaben mit keinem Wort. Die einzige von ihr ins Recht gelegte Arztrechnung stammt vom Hausarzt ihres Partners für eine Behandlung vom 8. Februar 2021 und lautet auf den Betrag von Fr. 54.55. Aus den Akten geht nicht hervor, dass die Beschwerdeführerin im Zeitpunkt des Ablaufs ihres bewilligungsfreien Aufenthalts Mitte Februar 2021 nicht fähig gewesen wäre, ihre Rückreise nach Brasilien anzutreten. Insbesondere behauptet sie nicht, die Lungenentzündung anfangs Februar 2021 sei gravierend oder langwierig gewesen. Inwiefern ihr bis zum 15. Mai 2021 eine Ausreise aus der Schweiz aus gesundheitlichen Gründen nicht möglich gewesen wäre, erschliesst sich vorliegend somit nicht.</w:t>
      </w:r>
    </w:p>
    <w:p>
      <w:r>
        <w:rPr>
          <w:b/>
        </w:rPr>
        <w:t>E. 3.3.3</w:t>
      </w:r>
    </w:p>
    <w:p>
      <w:r>
        <w:t>Die Beschwerdeführerin liess sich am 31. März 2021 und am 12. Mai 2021 gegen COVID-19 impfen (BVGer-act. 11). Die Vornahme von Impfungen rechtfertigt es jedoch nicht, sich ohne Visum weit über den bewilligungsfreien Aufenthalt hinaus im Schengen-Raum aufzuhalten. Es hätte der Beschwerdeführerin oblegen, sich über bestehende Rechte und Pflichten im Zusammenhang mit den ausländerrechtlichen Vorschriften ins Bild zu setzen und sich im Falle von Unklarheiten bei der zuständigen Behörde zu informieren (vgl. Urteile des BVGer F-5471/2020 vom 28. Februar 2022 E. 5.4; F-6479/2020 E. 3.2). Die Beschwerdeführerin räumt ein, die Behörden stressbedingt nicht über ihre Anwesenheit nach Ablauf des bewilligungsfreien Aufenthalts in der Schweiz informiert zu haben. Eine stichhaltige Begründung dafür, weshalb sie ihr Visum nicht verlängern liess, liefert sie jedoch keine (vgl. Art. 11 VZAE; Art. 12 Abs. 1 der Verordnung vom 15. August 2018 über die Einreise und die Visumerteilung [VEV, SR 142.204] i.V.m. Art. 33 der Verordnung [EG] Nr. 810/2009 des Europäischen Parlaments und des Rates vom 13. Juli 2009 über einen Visakodex der Gemeinschaft [Visakodex, Abl. L 243/1 vom 15.09.2009]; Stefan Müller/Sabine Taxer, Rechtliche Beurteilung der COVID-19-Massnahmen im Migrations- und Asylrecht, in: COVID-19, Ein Panorama der Rechtsfragen zur Corona-Krise, 2020, Rz. 73 ff.).</w:t>
      </w:r>
    </w:p>
    <w:p>
      <w:r>
        <w:rPr>
          <w:b/>
        </w:rPr>
        <w:t>E. 3.3.4</w:t>
      </w:r>
    </w:p>
    <w:p>
      <w:r>
        <w:t>Einer Auskunft der Schweizerischen Botschaft in Brasilia zufolge, war die Rückreise nach Brasilien für brasilianische Staatsangehörige in der Zeit ab Mitte Februar 2021 durchwegs möglich (BVGer-act. 19; vgl. auch Urteil F-572/2021 E. 6.2.1). Somit ist auch eine COVID-19-bedingte Hinderung der Beschwerdeführerin an der fristgerechten Ausreise auszuschliessen (vgl. auch die Weisung des SEM vom 2. Mai 2022 zur Umsetzung der Verordnung 3 über Massnahmen zur Bekämpfung des Coronavirus [COVID-19-Verordnung 3] sowie zum Vorgehen bezüglich Ein-/Ausreise in/aus der Schweiz, Ziff. 1.8 und 3.1, &lt; www.sem.admin.ch &gt; Publikationen &amp; Service &gt; Weisungen und Kreisschreiben &gt;, abgerufen am 07.10.2022).</w:t>
      </w:r>
    </w:p>
    <w:p>
      <w:r>
        <w:rPr>
          <w:b/>
        </w:rPr>
        <w:t>E. 3.4</w:t>
      </w:r>
    </w:p>
    <w:p>
      <w:r>
        <w:t>Nach dem Gesagten hat die Beschwerdeführerin ohne Not gegen ausländerrechtliche Bestimmungen verstossen (vgl. Art. 115 Abs. 1 Bst. b AIG) und damit den Fernhaltegrund des Verstosses gegen die öffentliche Sicherheit und Ordnung gemäss Art. 67 Abs. 2 Bst. a AIG gesetzt.</w:t>
      </w:r>
    </w:p>
    <w:p>
      <w:r>
        <w:rPr>
          <w:b/>
        </w:rPr>
        <w:t>E. 4.1</w:t>
      </w:r>
    </w:p>
    <w:p>
      <w:r>
        <w:t>Zu prüfen bleibt, ob das angefochtene Einreiseverbot als solches und in seiner Dauer in pflichtgemässer Ermessensausübung angeordnet wurde und vor dem Grundsatz der Verhältnismässigkeit standhält (vgl. Art. 5 Abs. 2 BV; Art. 96 AIG; BGE 139 II 121 E. 6.5.1; BVGE 2017 VII/2 E. 4.5; 2016/33 E. 9; 2014/20 E. 8.1).</w:t>
      </w:r>
    </w:p>
    <w:p>
      <w:r>
        <w:rPr>
          <w:b/>
        </w:rPr>
        <w:t>E. 4.2</w:t>
      </w:r>
    </w:p>
    <w:p>
      <w:r>
        <w:t>Die Beschwerdeführerin hielt sich während 89 Tagen illegal in der Schweiz auf. Dieses Fehlverhalten wiegt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F-572/2021 E. 6.2.1). Die Verhängung einer Fernhaltemassnahme ist weiter erforderlich, um die Beschwerdeführerin zu ermahnen, bei einer allfälligen künftigen Wiedereinreise in die Schweiz die geltenden ausländerrechtlichen Vorschriften einzuhalten (vgl. BVGE 2014/20 E. 8.2).</w:t>
      </w:r>
    </w:p>
    <w:p>
      <w:r>
        <w:rPr>
          <w:b/>
        </w:rPr>
        <w:t>E. 4.3</w:t>
      </w:r>
    </w:p>
    <w:p>
      <w:r>
        <w:t>Offengelassen werden kann, ob die seit November 2019 bestehende Beziehung der Beschwerdeführerin zu ihrem in der Schweiz lebenden Partner vom Recht auf Achtung des Familienlebens gemäss Art. 8 Ziff. 1 EMRK bereits erfasst wird. Ein allfälliger Eingriff in das Recht erweist sich vorliegend nämlich als gerechtfertigt (Art. 8 Ziff. 2 EMRK; BGE 143 I 21 E. 5.1 m.w.H.; 139 I 330 E. 2.2). Der Beschwerdeführerin und ihrem Partner ist es zumutbar, ihre Beziehung für beschränkte Zeit im Ausland zu leben. Bei Vorliegen humanitärer oder anderer wichtiger Gründe ist es zudem möglich, das Einreiseverbot vorübergehend aufzuheben und der Beschwerdeführerin die Einreise in die Schweiz zu gestatten (vgl. BVGE 2011/48 E. 6.2; Urteil des BVGer F-1921/2020 vom 20. Juli 2022 E. 8.1.3). Sodann scheitert eine dauerhafte Verwirklichung eines Beziehungslebens vor allem am fehlenden Aufenthaltsrecht der Beschwerdeführerin in der Schweiz (BVGE 2013/4 E. 7.4.2). Eine wertende Gewichtung der involvierten Interessen führt daher zum Ergebnis, dass das auf zwei Jahre befristete Einreiseverbot sowohl im Grundsatz als auch in Bezug auf seine Dauer eine verhältnismässige und angemessene Massnahme zum Schutz der öffentlichen Sicherheit und Ordnung darstellt (zur Praxis in vergleichbaren Fällen vgl. Urteile des BVGer F-572/2021 E. 6.3 m.w.H.; F-1641/2019 vom 14. September 2020 E. 4.3; F-1156/2018 vom 13. Dezember 2019 E. 5.2).</w:t>
      </w:r>
    </w:p>
    <w:p>
      <w:r>
        <w:rPr>
          <w:b/>
        </w:rPr>
        <w:t>E. 5</w:t>
      </w:r>
    </w:p>
    <w:p>
      <w:r>
        <w:t>Verhältnismässig, zur Wahrung der Interessen der Gesamtheit aller Schengen-Staaten notwendig und nicht zu beanstanden ist schliesslich die Ausschreibung des Einreiseverbots im Schengener Informationssystem (vgl. Art. 21 und Art. 24 SIS II-Verordnung; Art. 21 der N-SIS-VO), geht es doch im vorliegenden Fall um zentrale Bestimmungen der migrationsrechtlichen Ordnung, wogegen die Beschwerdeführerin verstossen hat.</w:t>
      </w:r>
    </w:p>
    <w:p>
      <w:r>
        <w:rPr>
          <w:b/>
        </w:rPr>
        <w:t>E. 6</w:t>
      </w:r>
    </w:p>
    <w:p>
      <w:r>
        <w:t>Die angefochtene Verfügung verletzt Bundesrecht nicht (Art. 49 VwVG). Die Beschwerde ist abzuweisen.</w:t>
      </w:r>
    </w:p>
    <w:p>
      <w:r>
        <w:rPr>
          <w:b/>
        </w:rPr>
        <w:t>E. 7</w:t>
      </w:r>
    </w:p>
    <w:p>
      <w:r>
        <w:t>Entsprechend dem Ausgang des Verfahrens sind die Verfahrenskosten der Beschwerdeführerin aufzuerlegen (Art. 63 Abs. 1 VwVG). Sie sind in Anwendung von Art. 1 ff. des Reglements vom 21. Februar 2008 über die Kosten und Entschädigungen vor dem Bundesverwaltungsgericht (VGKE, SR 173.320.2) auf Fr. 1'000.- festzusetzen und durch den in gleicher Höhe geleisteten Kostenvorschuss gedeckt. Eine Parteientschädigung steht der Beschwerdeführerin nicht zu (Art. 64 Abs. 1 VwVG).</w:t>
      </w:r>
    </w:p>
    <w:p>
      <w:r>
        <w:rPr>
          <w:b/>
        </w:rPr>
        <w:t>E. 8</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