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F-2523/2021 vom 2. Juni 2021</w:t>
      </w:r>
    </w:p>
    <w:p>
      <w:r>
        <w:t>Bundesverwaltungsgericht, 2021-06-02, FR</w:t>
      </w:r>
    </w:p>
    <w:p>
      <w:r>
        <w:rPr>
          <w:b/>
        </w:rPr>
        <w:t xml:space="preserve">Quelle: </w:t>
      </w:r>
      <w:r>
        <w:t>https://mcp.opencaselaw.ch/entscheid/bvger_F-2523_2021</w:t>
      </w:r>
    </w:p>
    <w:p>
      <w:r>
        <w:t>FR: TAF F-2523/2021 du 2 juin 2021</w:t>
      </w:r>
    </w:p>
    <w:p>
      <w:r>
        <w:t>IT: TAF F-2523/2021 del 2 giugno 2021</w:t>
      </w:r>
    </w:p>
    <w:p>
      <w:pPr>
        <w:pStyle w:val="Heading2"/>
      </w:pPr>
      <w:r>
        <w:t>Regeste</w:t>
      </w:r>
    </w:p>
    <w:p>
      <w:r>
        <w:t>Asile (non-entrée en matière / procédure Dublin) et renvoi</w:t>
      </w:r>
    </w:p>
    <w:p>
      <w:pPr>
        <w:pStyle w:val="Heading2"/>
      </w:pPr>
      <w:r>
        <w:t>Erwägungen</w:t>
      </w:r>
    </w:p>
    <w:p>
      <w:r>
        <w:rPr>
          <w:b/>
        </w:rPr>
        <w:t>E. 9</w:t>
      </w:r>
    </w:p>
    <w:p>
      <w:r>
        <w:t>En conséquence, c'est à bon droit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OA 1).</w:t>
      </w:r>
    </w:p>
    <w:p>
      <w:r>
        <w:rPr>
          <w:b/>
        </w:rPr>
        <w:t>E. 10</w:t>
      </w:r>
    </w:p>
    <w:p>
      <w:r>
        <w:t>Partant, le recours est rejeté. En outre, dans la mesure où il a été immédiatement statué sur le fond, les requêtes formulées dans le mémoire de recours tendant à l'octroi de l'effet suspensif et à la dispense du versement d'une avance de frais sont devenues sans objet. Vu l'issue de la cause, il y a lieu de mettre les frais de procédure à la charge du recourant, conformément aux art. 63 al. 1 PA et art. 1 à 3 du règlement du 21 février 2008 concernant les frais, dépens et indemnités fixés par le Tribunal administratif fédéral (FITAF, RS 173.320.2). Dans la mesure où les conclusions du recours sont d'emblée vouées à l'échec, le recourant ne saurait en effet prétendre à l'octroi de l'assistance judiciaire.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