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F-2518/2016 vom 12. Mai 2017</w:t>
      </w:r>
    </w:p>
    <w:p>
      <w:r>
        <w:t>Bundesverwaltungsgericht, 2017-05-12, IT</w:t>
      </w:r>
    </w:p>
    <w:p>
      <w:r>
        <w:rPr>
          <w:b/>
        </w:rPr>
        <w:t xml:space="preserve">Quelle: </w:t>
      </w:r>
      <w:r>
        <w:t>https://mcp.opencaselaw.ch/entscheid/bvger_F-2518_2016</w:t>
      </w:r>
    </w:p>
    <w:p>
      <w:r>
        <w:t>FR: TAF F-2518/2016 du 12 mai 2017</w:t>
      </w:r>
    </w:p>
    <w:p>
      <w:r>
        <w:t>IT: TAF F-2518/2016 del 12 maggio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(DTAF 2014/1 consid. 2 e giurisprudenza ivi citata).</w:t>
      </w:r>
    </w:p>
    <w:p>
      <w:r>
        <w:rPr>
          <w:b/>
        </w:rPr>
        <w:t>E. 3.1</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sentenze del TAF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Confederazione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w:t>
      </w:r>
    </w:p>
    <w:p>
      <w:r>
        <w:rPr>
          <w:b/>
        </w:rPr>
        <w:t>E. 3.2</w:t>
      </w:r>
    </w:p>
    <w:p>
      <w:r>
        <w:t>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con validità territoriale limitata (in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6</w:t>
      </w:r>
    </w:p>
    <w:p>
      <w:r>
        <w:t>In qualità di paese dello spazio Schengen, la Svizzera applica parimenti il regolamento n. 539/2001 del Consiglio del 15 marzo 2001 (GU L 81 del 21 marzo 2001), il cui art. 1 par. 1 prescrive che i cittadini dei paesi terzi che figurano nell'allegato I al medesimo regolamento devono essere in possesso di un visto all'atto di attraversamento delle frontiere esterne degli Stati Schengen. In proposito, essendo il Pakistan contemplato nel sopracitato allegato I, il ricorrente, quale cittadino di detto paese, soggiace all'obbligo di visto.</w:t>
      </w:r>
    </w:p>
    <w:p>
      <w:r>
        <w:rPr>
          <w:b/>
        </w:rPr>
        <w:t>E. 7.1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 richiedente.</w:t>
      </w:r>
    </w:p>
    <w:p>
      <w:r>
        <w:rPr>
          <w:b/>
        </w:rPr>
        <w:t>E. 7.2</w:t>
      </w:r>
    </w:p>
    <w:p>
      <w:r>
        <w:t>Il Pakistan è un paese contraddistinto da condizioni politiche e socioeconomiche difficili. La sua economia, pur presentando notevoli potenzialità dovute alla struttura demografica ed alla particolare posizione geografica, è piuttosto debole. Detta situazione è principalmente dovuta all'instabile contesto politico, ad una diffusa corruzione, all'insufficiente approvvigionamento energetico ed a problemi in ambito della sicurezza, in particolare il tasso di criminalità permane alto ed è sempre presente il rischio di atti terroristici da parte di gruppi di talebani o di altre organizzazioni terroristiche, non solo in zone di conflitto, ma anche nelle grandi città quali Karachi, Lahore o Rawalpindi, come pure il pericolo di violenze motivate da conflitti politici o religiosi (fonte: sito web del ministero degli esteri della Repubblica Federale di Germania [Auswärtiges Amt] www.auswaertiges-amt.de Aussen- und Europapolitik Länderinformationen Pakistan Wirtschaft / Innenpolitik [aggiornati nel dicembre 2016] / Reise- und Sicherheitshinweise [aggiornato il 17 febbraio 2017], siti consultati nel maggio 2017).</w:t>
      </w:r>
    </w:p>
    <w:p>
      <w:r>
        <w:rPr>
          <w:b/>
        </w:rPr>
        <w:t>E. 7.3</w:t>
      </w:r>
    </w:p>
    <w:p>
      <w:r>
        <w:t>Tenuto conto delle considerazioni relative alla situazione socioeconomica in Pakistan, nonché delle importanti differenze tra detto paese e la Svizzera, la valutazione della SEM non può limitarsi unicamente a questi fattori per determinare se sussista il rischio di un'uscita non conforme ai termini prestabiliti.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scolastica, così come l'esistenza di obblighi particolari possono costituire elementi di una prognosi favorevole in vista di una partenza regolare dalla Svizzera (cfr. DTAF 2014/1 consid. 6.3.1; 2009/27 consid. 8). Al contrario in assenza di tali indizi il rischio di aggiramento delle regole di diritto degli stranieri può essere considerato elevato.</w:t>
      </w:r>
    </w:p>
    <w:p>
      <w:r>
        <w:rPr>
          <w:b/>
        </w:rPr>
        <w:t>E. 8.1</w:t>
      </w:r>
    </w:p>
    <w:p>
      <w:r>
        <w:t>Per quanto riguarda i legami esistenti nel paese d'origine, dagli atti di causa si evince che il ricorrente vive a D._______, città in cui dirige un'azienda attiva nel settore della tecnologia finanziaria. Grazie a quest'attività A._______ afferma di percepire una remunerazione mensile media di circa fr. 20'000.-, egli ha altresì precisato di possedere due lussuose automobili di fabbricazione tedesca, il cui prezzo in Pakistan sarebbe doppio rispetto a quello praticato in Svizzera. I documenti prodotti dal ricorrente in merito alla sua situazione finanziaria non consentono di verificare l'importo indicato in merito al suo salario. Nondimeno vi figura un estratto bancario concernente un conto intestato alla società da egli diretta, dal quale cui si evince che nel periodo compreso tra il 1° novembre 2015 ed il 20 aprile 2016 vi sono stati accrediti in favore della citata azienda pari a PKR 15'258'803.59 (equivalenti a fr. 142'995.- al cambio del 3 maggio 2017 [cfr. il sito internet: www.oanda.com]) ed addebiti dell'ammontare di PKR 14'249'200.80 (pari a fr. 133'534.-). Gli ulteriori allegati al ricorso permettono di stabilire che il ricorrente sembra effettivamente trovarsi ai vertici della società E._______ e godere di una situazione finanziaria solida.</w:t>
      </w:r>
    </w:p>
    <w:p>
      <w:r>
        <w:rPr>
          <w:b/>
        </w:rPr>
        <w:t>E. 8.2</w:t>
      </w:r>
    </w:p>
    <w:p>
      <w:r>
        <w:t>Dall'istruttoria è inoltre emerso che la moglie B._______, cittadina elvetica (al proposito occorre nondimeno ricordare che, dai documenti agli atti, il matrimonio del ricorrente non è ancora stato riconosciuto dalle autorità della Confederazione), vive in Svizzera unitamente alla figlia che la coppia ha avuto il (...).</w:t>
      </w:r>
    </w:p>
    <w:p>
      <w:r>
        <w:rPr>
          <w:b/>
        </w:rPr>
        <w:t>E. 8.3</w:t>
      </w:r>
    </w:p>
    <w:p>
      <w:r>
        <w:t>Il Tribunale considera che, vista la situazione professionale agiata, e nonostante la presenza in questo paese di B._______ e della figlia, il rischio che A._______ intenda prolungare la sua permanenza nell'area Schengen, a fianco delle familiari residenti in Ticino, possa essere considerato basso. Il ricorrente ha infatti già soggiornato in paesi dello spazio Schengen (cfr. lett. E. supra), senza che la situazione socioeconomica del Pakistan, la presenza di parenti o altri motivi gli abbiano impedito di fare ritorno in patria conformemente alle condizioni stabilite nei visti concessi.</w:t>
      </w:r>
    </w:p>
    <w:p>
      <w:r>
        <w:rPr>
          <w:b/>
        </w:rPr>
        <w:t>E. 8.4</w:t>
      </w:r>
    </w:p>
    <w:p>
      <w:r>
        <w:t>Lo scopo del viaggio, nonché la sua durata - prevista per 19 giorni - sembrano essere compatibili con le affermazioni del richiedente, il quale ha dichiarato di non avere intenzione di rimanere in Svizzera o in Europa al termine della validità dell'eventuale visto, in quanto il centro dei suoi interessi si trova a D._______.</w:t>
      </w:r>
    </w:p>
    <w:p>
      <w:r>
        <w:rPr>
          <w:b/>
        </w:rPr>
        <w:t>E. 8.5</w:t>
      </w:r>
    </w:p>
    <w:p>
      <w:r>
        <w:t>Ne discende che, alla luce degli elementi poc'anzi esposti, i dubbi in merito al rientro in Pakistan di A._______ formulati dall'autorità inferiore con la decisione impugnata risultano infondati, di conseguenza quest'ultima non è conforme al diritto. L'interesse privato dell'insorgente a recarsi in Svizzera per rendere visita alla moglie ed alla figlia prevale sull'interesse pubblico di rifiutare la concessione del visto sollecitato, viste le garanzie fornite in merito all'uscita dallo spazio Schengen entro il termine fissato.</w:t>
      </w:r>
    </w:p>
    <w:p>
      <w:r>
        <w:rPr>
          <w:b/>
        </w:rPr>
        <w:t>E. 9</w:t>
      </w:r>
    </w:p>
    <w:p>
      <w:r>
        <w:t>Il ricorso del 21 aprile 2016 deve di conseguenza essere accolto. La decisione del 2 marzo 2016 è annullata e gli atti di causa sono ritornati alla SEM affinché determini se l'interessato adempie alle condizioni d'entrata poste dal codice frontiere Schengen o se è d'uopo porlo al beneficio di un VTL in applicazione dell'art. 2 cpv. 4 OEV.</w:t>
      </w:r>
    </w:p>
    <w:p>
      <w:r>
        <w:rPr>
          <w:b/>
        </w:rPr>
        <w:t>E. 10</w:t>
      </w:r>
    </w:p>
    <w:p>
      <w:r>
        <w:t>Considerato l'esito della procedura non si prelevano spese processuali e l'anticipo versato in data 27 maggio 2016 è restituito al ricorrente. Nessuna spesa è posta a carico dell'autorità inferiore (art. 63 cpv. 2 PA).</w:t>
      </w:r>
    </w:p>
    <w:p>
      <w:r>
        <w:rPr>
          <w:b/>
        </w:rPr>
        <w:t>E. 11</w:t>
      </w:r>
    </w:p>
    <w:p>
      <w:r>
        <w:t>In merito alla questione a sapere se nella fattispecie debbano essere assegnate delle ripetibili il Tribunale risponde in maniera negativa, poiché A._______ ha agito senza l'assistenza di un avvocato o di un mandatario professionale (cfr. in particolare DTF 134 I 184 consid. 6.3 e 133 III 439 consid. 4), inoltre le spese supportate dall'interessato appaiono modeste (art. 7 cpv. 4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