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F-2489/2020 vom 3. Juni 2020</w:t>
      </w:r>
    </w:p>
    <w:p>
      <w:r>
        <w:t>Bundesverwaltungsgericht, 2020-06-03, DE</w:t>
      </w:r>
    </w:p>
    <w:p>
      <w:r>
        <w:rPr>
          <w:b/>
        </w:rPr>
        <w:t xml:space="preserve">Quelle: </w:t>
      </w:r>
      <w:r>
        <w:t>https://mcp.opencaselaw.ch/entscheid/bvger_F-2489_2020</w:t>
      </w:r>
    </w:p>
    <w:p>
      <w:r>
        <w:t>FR: TAF F-2489/2020 du 3 juin 2020</w:t>
      </w:r>
    </w:p>
    <w:p>
      <w:r>
        <w:t>IT: TAF F-2489/2020 del 3 giugno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italienischen Behörden sich innert der in Art. 25 Abs. 2 Dublin-III-VO festgelegten Frist nicht zum Wiederaufnahmegesuch des SEM geäussert haben, ist die Zuständigkeit gemäss dieser Bestimmung an Italien übergegangen.</w:t>
      </w:r>
    </w:p>
    <w:p>
      <w:r>
        <w:rPr>
          <w:b/>
        </w:rPr>
        <w:t>E. 5</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Diese Einschätzung vermag der Beschwerdeführer mit seinen pauschal geäusserten Zweifeln daran, dass er dort überhaupt an die von ihm benötigten Medikamente gelangen könne, nicht schon in Frage zu stellen. Eine Anwendung von Art. 3 Abs. 2 Dublin-III-VO ist jedenfalls nicht gerechtfertigt. Hingegen ist nachfolgend zu prüfen, ob - wie ebenfalls beantragt - das Selbsteintrittsrecht nach Art. 17 Abs. 1 erster Satz Dublin-III-VO, konkretisiert in Art. 29a Abs. 3 der Asylverordnung 1 vom 11. August 1999 (AsylV 1, SR 142.311), auszuüben ist.</w:t>
      </w:r>
    </w:p>
    <w:p>
      <w:r>
        <w:rPr>
          <w:b/>
        </w:rPr>
        <w:t>E. 6.1</w:t>
      </w:r>
    </w:p>
    <w:p>
      <w:r>
        <w:t>Der Beschwerdeführer macht auch in diesem Zusammenhang im Wesentlichen geltend, er könne nicht darauf vertrauen, in Italien Medikamente gegen seine Hypertonie zu erhalten. Da er Italien bzw. dessen Asylstrukturen bereits einmal verlassen habe, habe er seinen Anspruch auf medizinische Versorgung verwirkt. Hinzu komme, dass die COVID-19-Pandemie das sonst schon schwach aufgestellte Gesundheitssystem in Italien komplett überlastet habe. Es müsse realistischerweise davon ausgegangen werden, dass es selbst nach Beendigung des Covid-19-Notstandes noch Monate dauern werde, bis dieses System wieder stabilisiert werden könne. Innerhalb der sechsmonatigen Frist sei jedenfalls nicht realistisch, dass Personen, die nach Italien überstellt würden und auf eine Gesundheitsversorgung angewiesen seien, Zugang zum dortigen Gesundheitssystem erhalten würden.</w:t>
      </w:r>
    </w:p>
    <w:p>
      <w:r>
        <w:rPr>
          <w:b/>
        </w:rPr>
        <w:t>E. 6.2</w:t>
      </w:r>
    </w:p>
    <w:p>
      <w:r>
        <w:t>Die Vorinstanz vertrat in der angefochtenen Verfügung im Wesentlichen den Standpunkt, dass der Beschwerdeführer nicht an schwerwiegenden medizinischen Problemen leide, die einer Rückführung aufgrund fehlender Zulässigkeit und Zumutbarkeit entgegenstehen könnten. Es gebe keine Indizien dafür, dass Italien ihm eine medizinische Behandlung inskünftig verweigern würde. Die COVID-19-Pandemie werde insofern berücksichtigt, als eine Überstellung erst durchgeführt werde, wenn sie technisch wieder möglich sei.</w:t>
      </w:r>
    </w:p>
    <w:p>
      <w:r>
        <w:rPr>
          <w:b/>
        </w:rPr>
        <w:t>E. 6.3</w:t>
      </w:r>
    </w:p>
    <w:p>
      <w:r>
        <w:t>Soweit der Beschwerdeführer behauptet, in Italien überhaupt keine medizinische Versorgung erhältlich machen zu können, ist ihm nicht zu folgen. Für eine solche Annahme reichen weder der Hinweis auf eine fehlende medizinische Betreuung anlässlich eines ersten Aufenthalts als Asylbewerber im Jahre 2015 noch derjenige auf einen künftigen Status in diesem Land. Schliesslich gilt es, gestützt auf den aktuellen Gesundheitszustand des Beschwerdeführers zu beurteilen, ob er als vulnerable Person einzustufen ist. Aus dem medizinischen Datenblatt vom 24. März 2020 geht hervor, dass er an einer arteriellen Hypertonie leide, welche gemäss eigenen Angaben schon in Nigeria behandelt worden sei. Bei einem Blutdruck von 174/110 mmHg wurde ihm Zanidip 20mg 1-0-0 verschrieben (SEM-act. 15). Das SEM wurde am 8. April 2020 darüber in Kenntnis gesetzt, dass der Beschwerdeführer vom Zentrumsarzt das Antihypertensivum verschrieben bekommen habe. Es sei keine Überweisung an einen externen Arzt gemacht worden (SEM-act. 19). Da keine weiteren medizinischen Abklärungen mehr als angezeigt erachtet wurden und die Erkrankung des Beschwerdeführers offensichtlich gut mit einer medikamentösen Therapie behandelbar ist, kann grundsätzlich von einem stabilen gesundheitlichen Zustand ausgegangen werden. Aufgrund des bekannten Krankheitsbildes und des gegenwärtig stabilen Gesundheitszustandes kann der Beschwerdeführer nicht zu einer Gruppe besonders verletzlicher Personen im Sinn des Urteils des BVGer E-962/2019 vom 17. Dezember 2019 E. 7.4 (Referenzurteil) gezählt werden. Soweit der Beschwerdeführer der Vorinstanz vorwirft, sich bei der Einschätzung des COVID-19-Pandemieverlaufs in unzulässiger Weise auf einen hypothetisch günstigen Verlauf abzustützen, ist er auf Folgendes hinzuweisen: Nach der Praxis des Bundesverwaltungsgerichts handelt es sich hierbei um ein bloss temporäres Vollzugshindernis, welchem im Rahmen der Vollzugsmodalitäten durch die kantonalen Behörden Rechnung zu tragen ist (vgl. anstelle vieler Urteil des BVGer E-1725/2020 vom 28. April 2020 sowie E. 6.5 nachfolgend).</w:t>
      </w:r>
    </w:p>
    <w:p>
      <w:r>
        <w:rPr>
          <w:b/>
        </w:rPr>
        <w:t>E. 6.4</w:t>
      </w:r>
    </w:p>
    <w:p>
      <w:r>
        <w:t>Ein Selbsteintritt aus humanitären Gründen ist bei dieser Sachlage nicht angezeigt. Die Vorinstanz ist demnach zu Recht gestützt auf Art. 31a Abs. 1 Bst. b AsylG auf das Asylgesuch des Beschwerdeführers nicht eingetreten und hat zu Recht die Überstellung nach Italien angeordnet.</w:t>
      </w:r>
    </w:p>
    <w:p>
      <w:r>
        <w:rPr>
          <w:b/>
        </w:rPr>
        <w:t>E. 6.5</w:t>
      </w:r>
    </w:p>
    <w:p>
      <w:r>
        <w:t>Beim Beschwerdeführer steht die medikamentöse Behandlung im Vordergrund. Die schweizerischen Behörden, die mit dem Vollzug der angefochtenen Verfügung beauftragt sind, haben die italienischen Behörden in geeigneter Weise über die spezifischen medizinischen Umstände des Beschwerdeführers (einschliesslich einer allenfalls durchzuführenden medizinischen Untersuchung und Versorgung) zu informieren (Art. 31 f. Dublin-III-VO). Bei Bedarf kann dem Beschwerdeführer zur Sicherstellung einer lückenlosen Behandlung für die erste Zeit eine Reservemedikation mitgegeben werden. Es versteht sich von selbst, dass die Überstellung erst erfolgen kann, wenn die Reisebeschränkungen dies zulassen, und dass dannzumal die Reisefähigkeit des Beschwerdeführers unter Berücksichtigung der konkreten Umstände neu zu beurteilen sein wird.</w:t>
      </w:r>
    </w:p>
    <w:p>
      <w:r>
        <w:rPr>
          <w:b/>
        </w:rPr>
        <w:t>E. 7</w:t>
      </w:r>
    </w:p>
    <w:p>
      <w:r>
        <w:t>Gestützt auf vorstehende Erwägungen ist die Beschwerde abzuweisen.</w:t>
      </w:r>
    </w:p>
    <w:p>
      <w:r>
        <w:rPr>
          <w:b/>
        </w:rPr>
        <w:t>E. 7.1</w:t>
      </w:r>
    </w:p>
    <w:p>
      <w:r>
        <w:t>Mit dem vorliegenden Urteil fällt der am 14. Mai 2020 angeordnete Vollzugsstopp dahin. Das Gesuch um Erteilung der aufschiebenden Wirkung ist gegenstandslos geworden.</w:t>
      </w:r>
    </w:p>
    <w:p>
      <w:r>
        <w:rPr>
          <w:b/>
        </w:rPr>
        <w:t>E. 7.2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