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F-2484/2019 vom 4. Februar 2020</w:t>
      </w:r>
    </w:p>
    <w:p>
      <w:r>
        <w:t>Bundesverwaltungsgericht, 2020-02-04, FR</w:t>
      </w:r>
    </w:p>
    <w:p>
      <w:r>
        <w:rPr>
          <w:b/>
        </w:rPr>
        <w:t xml:space="preserve">Quelle: </w:t>
      </w:r>
      <w:r>
        <w:t>https://mcp.opencaselaw.ch/entscheid/bvger_F-2484_2019</w:t>
      </w:r>
    </w:p>
    <w:p>
      <w:r>
        <w:t>FR: TAF F-2484/2019 du 4 février 2020</w:t>
      </w:r>
    </w:p>
    <w:p>
      <w:r>
        <w:t>IT: TAF F-2484/2019 del 4 febbraio 2020</w:t>
      </w:r>
    </w:p>
    <w:p>
      <w:pPr>
        <w:pStyle w:val="Heading2"/>
      </w:pPr>
      <w:r>
        <w:t>Regeste</w:t>
      </w:r>
    </w:p>
    <w:p>
      <w:r>
        <w:t>Interdiction d'entrée</w:t>
      </w:r>
    </w:p>
    <w:p>
      <w:pPr>
        <w:pStyle w:val="Heading2"/>
      </w:pPr>
      <w:r>
        <w:t>Erwägungen</w:t>
      </w:r>
    </w:p>
    <w:p>
      <w:r>
        <w:rPr>
          <w:b/>
        </w:rPr>
        <w:t>E. 6.1</w:t>
      </w:r>
    </w:p>
    <w:p>
      <w:r>
        <w:t>Il reste encore à déterminer si les interdictions prononcées, d'une durée d'un an, sont proportionnées.</w:t>
      </w:r>
    </w:p>
    <w:p>
      <w:r>
        <w:rPr>
          <w:b/>
        </w:rPr>
        <w:t>E. 6.2</w:t>
      </w:r>
    </w:p>
    <w:p>
      <w:r>
        <w:t>Lorsque l'autorité administrative prononce une interdiction d'entrée, elle doit en effet respecter les principes susmentionnés et s'interdire tout arbitraire (cf. à ce sujet, à titre d'exemples, arrêts du TAF F-1519/2017 du 10 avril 2019 consid. 9.1 et F-1061/2018 du 11 mars 2019 consid. 6.1).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TAF F-2913/2018 du 12 décembre 2019 consid. 6.1 et les réf. cit.).</w:t>
      </w:r>
    </w:p>
    <w:p>
      <w:r>
        <w:rPr>
          <w:b/>
        </w:rPr>
        <w:t>E. 6.3</w:t>
      </w:r>
    </w:p>
    <w:p>
      <w:r>
        <w:t>En l'espèce, les recourants ont fait valoir qu'ils avaient déjà voyagé dans l'Espace Schengen et obtenu des visas dans ce but. B._______ a notamment joint à son mémoire de recours les copies de huit visas délivrés depuis 2011, soit un chaque année, principalement à but touristique (cf. dossier TAF F-2490/2019, pce 1, annexes 13 à 20). Les intéressés ont également affirmé être des personnes calmes et honnêtes, et n'avoir aucune intention d'entrer ou de séjourner en Suisse sans l'accord des autorités compétentes.</w:t>
      </w:r>
    </w:p>
    <w:p>
      <w:r>
        <w:rPr>
          <w:b/>
        </w:rPr>
        <w:t>E. 6.4</w:t>
      </w:r>
    </w:p>
    <w:p>
      <w:r>
        <w:t>Force est de constater que les recourants n'ont fait valoir aucun intérêt privé particulier à la levée des mesures d'éloignement prononcées à leur encontre. Leurs agissements ont poussé les autorités compétentes à délivrer des visas sur la base de déclarations frauduleuses et leur manque de collaboration durant la procédure de recours a d'ores et déjà été relevé (cf. supra consid. 5.4). Ces éléments ne sauraient dès lors l'emporter sur l'intérêt public aux respect des prescriptions en matière de droit des étrangers. Le prononcé de mesures d'éloignement d'une durée d'un an était ainsi tout à fait proportionné aux faits reprochés.</w:t>
      </w:r>
    </w:p>
    <w:p>
      <w:r>
        <w:rPr>
          <w:b/>
        </w:rPr>
        <w:t>E. 7.1</w:t>
      </w:r>
    </w:p>
    <w:p>
      <w:r>
        <w:t>Il convient encore de vérifier si l'inscription des mesures d'éloignements dans le SIS II était justifiée.</w:t>
      </w:r>
    </w:p>
    <w:p>
      <w:r>
        <w:rPr>
          <w:b/>
        </w:rPr>
        <w:t>E. 7.2</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Le signalement dans le SIS a pour conséquence que la personne concernée se verra refuser l'entrée dans l'Espace Schengen (cf. art. 14 par. 1 en relation avec l'art. 6 par. 1 let. d du code frontières Schengen). Il ressort en particulier de l'art. 24 par. 3 SIS II qu'un signalement peut être introduit lorsque la décision visée à l'art. 24 par. 1 SIS II est fondée sur le fait que le ressortissant d'un pays tiers a fait l'objet d'une mesure d'éloignement, de renvoi ou d'expulsion qui n'a pas été abrogée ni suspendue, et qui comporte ou est assortie d'une interdiction d'entrée, ou, le cas échéant, de séjour, fondée sur le non-respect des réglementations nationales relatives à l'entrée ou au séjour des ressortissants de pays tiers</w:t>
      </w:r>
    </w:p>
    <w:p>
      <w:r>
        <w:rPr>
          <w:b/>
        </w:rPr>
        <w:t>E. 7.3</w:t>
      </w:r>
    </w:p>
    <w:p>
      <w:r>
        <w:t>Ce signalement est entièrement justifié par les faits retenus et satisfait au principe de proportionnalité au vu des circonstances du cas d'espèce (cf. art. 21 en relation avec l'art. 24 al. 3 du règlement SIS II). Il l'est d'autant plus que la Suisse, dans le champ d'application des règles de Schengen, se doit de préserver les intérêts de tous les Etats parties aux accords d'association à Schengen (cf. ATAF 2011/48 consid. 6.1).</w:t>
      </w:r>
    </w:p>
    <w:p>
      <w:r>
        <w:rPr>
          <w:b/>
        </w:rPr>
        <w:t>E. 8</w:t>
      </w:r>
    </w:p>
    <w:p>
      <w:r>
        <w:t>Au vu de ce qui précède, le Tribunal considère que l'autorité intimée, par ses décisions du 17 avril 2019, n'a ni violé le droit fédéral ni constaté des faits pertinents de manière inexacte ou incomplète. En outre, les décisions ne sont pas inopportunes (art. 49 PA). Par conséquent, le recours est rejeté.</w:t>
      </w:r>
    </w:p>
    <w:p>
      <w:r>
        <w:rPr>
          <w:b/>
        </w:rPr>
        <w:t>E. 9</w:t>
      </w:r>
    </w:p>
    <w:p>
      <w:r>
        <w:t>Au vu de l'issue du litige, il y aurait lieu de mettre les frais de procédure à la charge des recourants, en application de l'art. 63 al. 1 PA en relation avec les art. 1 à 3 du règlement du 21 février 2008 concernant les frais, dépens et indemnités fixés par le Tribunal administratif fédéral (FITAF, RS 173.320.2). Les intéressés étant cependant au bénéfice de l'assistance judiciaire partielle (cf. pce TAF 4), il ne sera pas perçu de frais de procédure. Vu l'issue de la cause, il n'y a pas lieu d'allouer des dépens (cf. art. 64 al. 1 PA a contrario et art. 7 al. 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