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F-2482/2023 vom 9. Mai 2023</w:t>
      </w:r>
    </w:p>
    <w:p>
      <w:r>
        <w:t>Bundesverwaltungsgericht, 2023-05-09, FR</w:t>
      </w:r>
    </w:p>
    <w:p>
      <w:r>
        <w:rPr>
          <w:b/>
        </w:rPr>
        <w:t xml:space="preserve">Quelle: </w:t>
      </w:r>
      <w:r>
        <w:t>https://mcp.opencaselaw.ch/entscheid/bvger_F-2482_2023</w:t>
      </w:r>
    </w:p>
    <w:p>
      <w:r>
        <w:t>FR: TAF F-2482/2023 du 9 mai 2023</w:t>
      </w:r>
    </w:p>
    <w:p>
      <w:r>
        <w:t>IT: TAF F-2482/2023 del 9 maggio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 recourant a qualité pour recourir et que le recours a été présenté dans la forme et le délai prescrits. Celui-ci est dès lors recevable (art. 48 al. 1 et 52 al. 1 PA [RS 172.021], applicables par renvoi de l'art. 37 LTAF, et art. 108 al. 3 LAsi). Le recourant peut se prévaloir de la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 Face à des recours manifestement infondés, il statue dans une procédure à juge unique, avec l'approbation d'un second juge (art. 111 let. e LAsi), sans procéder à un échange d'écritures et sur la base d'une motivation sommaire (cf. art. 111a al. 1 et 2 LAsi). Or, comme on le verra ci-après, le présent recours doit être considéré comme étant manifestement infondé.</w:t>
      </w:r>
    </w:p>
    <w:p>
      <w:r>
        <w:rPr>
          <w:b/>
        </w:rPr>
        <w:t>E. 2</w:t>
      </w:r>
    </w:p>
    <w:p>
      <w:r>
        <w:t>Dans un grief formel, le recourant fait valoir que l'autorité inférieure aurait failli à son devoir d'instruction, en lien avec l'établissement de son état de santé. Il en veut pour preuve ses nombreuses demandes de consultation psychologique. En l'espèce, trois pièces médicales ont été versées au dossier (pces SEM 20, 21, 23). Comme on le verra ci-après (cf. consid. 6.3 infra), l'autorité inférieure était en droit, sur la base de ces rapports médicaux, de procéder à une appréciation anticipée des preuves, en sorte qu'on ne saurait lui reprocher une violation de son devoir d'instruction (sur la jurisprudence y relative, cf. arrêt du TAF D-4720/2022 du 26 octobre 2022 consid. 2.1.4).</w:t>
      </w:r>
    </w:p>
    <w:p>
      <w:r>
        <w:rPr>
          <w:b/>
        </w:rPr>
        <w:t>E. 3</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(anglais : take charge) comme en l'espèce, les critères énumérés au chapitre III du règlement (art. 8-15) doivent être appliqués successivement (art. 7 par. 1 RD III).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L'Etat responsable est tenu de prendre en charge - dans les conditions prévues aux art. 21, 22 et 29 - le demandeur qui a introduit une demande dans un autre Etat membre (art. 18 par. 1 let. a RD III).</w:t>
      </w:r>
    </w:p>
    <w:p>
      <w:r>
        <w:rPr>
          <w:b/>
        </w:rPr>
        <w:t>E. 4</w:t>
      </w:r>
    </w:p>
    <w:p>
      <w:r>
        <w:t>En l'occurrence, les investigations entreprises par le SEM ont révélé, après consultation de l'unité centrale de système européen Eurodac, que l'intéressé avait franchi irrégulièrement la frontière du territoire des Etats Dublin le 13 janvier 2023 en Croatie. En se basant sur ce qui précède et un entretien individuel avec le recourant du 1er février 2023, le SEM a soumis, le même jour, une requête aux fins de son admission aux autorités croates (art. 13 al. 1 RD III). Or, les autorités croates ont explicitement accepté cette requête le 1er avril 2023, soit dans le délai prescrit par l'art. 22 par. 1 RD III. Leur communication fait certes état d'un alias (cf. pce SEM 22), mais le recourant ne peut en tirer aucun argument, les empreintes digitales étant déterminantes - à l'exclusion des données d'identité, rapportées par l'intéressé lui-même. Il s'ensuit que la Croatie est bien l'Etat membre tenu en principe de prendre en charge le recourant.</w:t>
      </w:r>
    </w:p>
    <w:p>
      <w:r>
        <w:rPr>
          <w:b/>
        </w:rPr>
        <w:t>E. 5</w:t>
      </w:r>
    </w:p>
    <w:p>
      <w:r>
        <w:t>Pour s'opposer à son transfert, le recourant semble se prévaloir de la présence de défaillances systémiques en Croatie (cf. art. 3 par. 2 RD III). Il soutient en effet que les autorités croates seraient notoirement violentes avec les demandeurs d'asile, se référant à des rapports de « diverses ONG ». A cet égard, le Tribunal a récemment nié l'existence de défaillances systémiques en Croatie, quand bien même la réalité d'un usage excessif de la force par la police aux frontières a été considérée comme très probable (arrêt du TAF E-1488/2020 du 22 mars 2023 consid. 9.3 à 9.5 ; voir également la décision attaquée, p. 4-5). Le recourant ne soulève pas de moyens permettant de remettre en cause cette appréciation, en sorte qu'il n'y a pas lieu d'appliquer l'art. 3 par. 2 RD III, la Croatie étant présumée respecter les droits et la sécurité des demandeurs d'asile. Cette présomption peut toutefois être renversée dans un cas concret, ce qu'examinera le Tribunal dans le considérant suivant.</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w:t>
      </w:r>
    </w:p>
    <w:p>
      <w:r>
        <w:rPr>
          <w:b/>
        </w:rPr>
        <w:t>E. 6.2</w:t>
      </w:r>
    </w:p>
    <w:p>
      <w:r>
        <w:t>En l'espèce, le recourant ne parvient cependant pas à démontrer que, dans son cas concret, les conditions qui l'attendent en cas de transfert en Croatie sont à ce point mauvaises qu'elles pourraient conduire à une violation de l'art. 3 CEDH ou des art. 3 et 16 Conv. Torture. Il allègue certes avoir fait l'objet de mauvais traitements par les policiers croates lors de son interpellation - soit avoir été battu, privé de nourriture et dépouillé de ses vêtements et affaires - et avoir été forcé de donner ses empreintes digitales (cf. pce SEM 16). Il n'empêche que ses déclarations, qui ne sont que peu étayées, ne sont pas décisives ; en outre, même s'il avait été victime d'un usage disproportionné de la force lors de son interpellation sur sol croate, son transfert demeurerait conforme aux dispositions réglementaires susmentionnées. En effet, il n'y a pas de raison concrète et sérieuse d'admettre que son transfert en Croatie risque de l'exposer à une situation similaire à celle qu'il dit avoir connue lors de son interpellation en tant que personne étrangère entrée illégalement dans le pays (cf. arrêt du TAF E-1488/2020 du 22 mars 2023 consid. 9.3 ss).</w:t>
      </w:r>
    </w:p>
    <w:p>
      <w:r>
        <w:rPr>
          <w:b/>
        </w:rPr>
        <w:t>E. 6.3</w:t>
      </w:r>
    </w:p>
    <w:p>
      <w:r>
        <w:t>En ce qui concerne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Compte tenu de cette jurisprudence restrictive, les trois rapports médicaux versés en cause suffisent pour se déterminer en connaissance de cause dans la présente affaire (cf. consid. 2 supra). Ainsi, il ressort d'un rapport médical du 7 février 2023 établi par un spécialiste en médecine interne (pce SEM 20) que l'intéressé présente des douleurs aux genoux pour lesquelles il a reçu une médication. Sur le plan psychiatrique, ce même rapport indique que le patient a signalé ressentir une intense souffrance psychique, due à son vécu en Afghanistan où il aurait été torturé par les Talibans et menacé de mort. Il est fait part de troubles du sommeil avec ruminations, sans idées suicidaires, et d'un probable syndrome de stress post traumatique ; il est relevé que l'intéressé est très demandeur d'un suivi psychiatrique et qu'un rendez-vous auprès d'un psychiatre est prévu. Dans un journal de soin du 16 février 2023, il est indiqué que le patient dit se sentir mieux depuis qu'il est à (...), qu'il aime participer aux activités et qu'il est inscrit à une visite auprès d'un psychiatre en mars 2023. En annexe à son recours du 3 mai 2023, le recourant n'a toutefois produit aucun rapport psychiatrique en lien avec ce rendez-vous et n'a fourni aucune explication y relative. La question de savoir si la consultation psychiatrique a pu avoir lieu ou non peut toutefois rester indécise. En effet, sur le vu de la documentation versée en cause, il y certes lieu de retenir que les affections psychiatriques dont souffre le recourant ne sauraient être minimisées. Toutefois, rien n'incite à penser qu'elles atteignent le seuil de gravité nécessaire pour faire obstacle à un transfert de ce dernier en Croatie. Il en va de même des affections somatiques en cause. Dans ce contexte, il sied de rappeler que la Croatie est liée par la directive Accueil (référence complète : directive n° 2013/33/UE du Parlement européen et du Conseil du 26 juin 2013 établissant des normes pour l'accueil des personnes demandant la protection internationale [refonte] [JO L 180/96 du 29 juin 2013]) et qu'elle dispose d'infrastructures médicales suffisantes, également sur le plan psychiatrique (cf. parmi d'autres, arrêt du TAF F-4560/2022 du 23 février 2023 consid. 6.5.3).</w:t>
      </w:r>
    </w:p>
    <w:p>
      <w:r>
        <w:rPr>
          <w:b/>
        </w:rPr>
        <w:t>E. 6.4</w:t>
      </w:r>
    </w:p>
    <w:p>
      <w:r>
        <w:t>En conséquence, il y a lieu de conclure que la décision attaquée ne viole pas les obligations de la Suisse relevant du droit international public, en particulier l'art. 3 CEDH et, par analogie, l'art. 3 Conv. Torture. Le SEM a au demeurant correctement examiné les faits allégués par l'intéressé susceptibles de constituer des « raisons humanitaires » au sens de l'art. 29a al. 3 OA 1.</w:t>
      </w:r>
    </w:p>
    <w:p>
      <w:r>
        <w:rPr>
          <w:b/>
        </w:rPr>
        <w:t>E. 7</w:t>
      </w:r>
    </w:p>
    <w:p>
      <w:r>
        <w:t>La Croatie demeure donc l'Etat responsable de l'examen de la demande d'asile du recourant au sens du RD III. C'est ainsi à juste titre que le SEM n'est pas entré en matière sur celle-ci (cf. art. 31a al. 1 let. b LAsi) et a prononcé le transfert de l'intéressé vers la Croatie (cf. art. 44 LAsi), aucune exception à la règle générale du renvoi n'étant réalisée (art. 32 OA 1). Partant, le recours doit être rejeté.</w:t>
      </w:r>
    </w:p>
    <w:p>
      <w:r>
        <w:rPr>
          <w:b/>
        </w:rPr>
        <w:t>E. 8</w:t>
      </w:r>
    </w:p>
    <w:p>
      <w:r>
        <w:t>Les conclusions du recours étant d'emblée vouées à l'échec, la requête d'assistance judiciaire totale est rejetée. Il y a donc lieu de mettre les frais de procédure à la charge du recourant, conformément aux art. 63 al. 1 PA et art. 1 à 3 du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