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F-2477/2020 vom 11. Oktober 2023</w:t>
      </w:r>
    </w:p>
    <w:p>
      <w:r>
        <w:t>Bundesverwaltungsgericht, 2023-10-11, FR</w:t>
      </w:r>
    </w:p>
    <w:p>
      <w:r>
        <w:rPr>
          <w:b/>
        </w:rPr>
        <w:t xml:space="preserve">Quelle: </w:t>
      </w:r>
      <w:r>
        <w:t>https://mcp.opencaselaw.ch/entscheid/bvger_F-2477_2020</w:t>
      </w:r>
    </w:p>
    <w:p>
      <w:r>
        <w:t>FR: TAF F-2477/2020 du 11 octobre 2023</w:t>
      </w:r>
    </w:p>
    <w:p>
      <w:r>
        <w:t>IT: TAF F-2477/2020 del 11 ottobre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t>F-2477/2020 Page 4</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L’objet du litige est le bien-fondé de la décision de l’OAIE du 31 mars 2020 rejetant la demande de rente d’invalidité du recourant, au motif que celui- ci ne présentait qu’un degré d’invalidité de 11%.</w:t>
      </w:r>
    </w:p>
    <w:p>
      <w:r>
        <w:rPr>
          <w:b/>
        </w:rPr>
        <w:t>E. 2.1</w:t>
      </w:r>
    </w:p>
    <w:p>
      <w:r>
        <w:t>Pour atteindre ce chiffre, l’OAIE a tout d’abord constaté que l’assuré était en incapacité de travail dans son activité habituelle depuis le 17 dé- cembre 2017. Elle a ensuite relevé que celui-ci avait repris son activité à un taux de 50% depuis le 1er avril 2018 et considéré qu’une pleine capacité de travail dans une activité adaptée était exigible depuis cette date. Dès lors, l’OAIE a procédé au calcul de l’invalidité en retenant d’une part un revenu sans invalidité, calculé sur la base du revenu réalisé dans l’acti- vité habituelle, de 67'942.- francs. D’autre part, le revenu avec invalidité a été fixé sur la base du revenu statistique moyen réalisé dans le secteur privé en général, par un homme dans une fonction impliquant des tâches physiques ou manuelles simples, en tenant compte de l’indexation et d’un taux d’abattement de 10%, à 60'687.- francs. Sur la base de ces chiffres, le degré d’invalidité a été fixé à 11% ([67'942.- - 60'687.-] x 100 / 67'942.-). Dès lors, le droit à la rente a été nié.</w:t>
      </w:r>
    </w:p>
    <w:p>
      <w:r>
        <w:rPr>
          <w:b/>
        </w:rPr>
        <w:t>E. 2.2</w:t>
      </w:r>
    </w:p>
    <w:p>
      <w:r>
        <w:t>Pour sa part, le recourant a rappelé que tous les médecins avaient es- timé qu’il ne pouvait plus exercer son activité habituelle à temps plein et qu’il travaillait dans l’hôtellerie depuis 42 ans au moment de la décision querellée et pour son employeur actuel depuis 1990. Une reconversion lui paraissait dès lors difficilement envisageable.</w:t>
      </w:r>
    </w:p>
    <w:p>
      <w:r>
        <w:rPr>
          <w:b/>
        </w:rPr>
        <w:t>E. 3.1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w:t>
      </w:r>
    </w:p>
    <w:p>
      <w:r>
        <w:t>F-2477/2020 Page 5 questions de droit non invoquées que dans la mesure où les arguments des parties ou le dossier l'y incitent (ATF 122 V 157 consid. 1a ; 121 V 204 consid. 6c).</w:t>
      </w:r>
    </w:p>
    <w:p>
      <w:r>
        <w:rPr>
          <w:b/>
        </w:rPr>
        <w:t>E. 3.2</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140 I 285 consid. 6.3.1 et les références citées).</w:t>
      </w:r>
    </w:p>
    <w:p>
      <w:r>
        <w:rPr>
          <w:b/>
        </w:rPr>
        <w:t>E. 3.3</w:t>
      </w:r>
    </w:p>
    <w:p>
      <w:r>
        <w:t>En outre, il y a lieu en principe d’appliquer les règles de droit matériel en vigueur lors de la réalisation de l’état de fait qui doit être apprécié juridi- quement ou qui a des conséquences juridiques, sous réserve des disposi- tions particulières du droit transitoire (ATF 148 V 21 consid. 5.3 ; 143 V 446 consid. 3.3). Le juge des assurances sociales apprécie en outre la légalité des décisions d’après les faits existant au moment où la décision litigieuse a été rendue (ATF 148 V 21 consid. 5.3 ; 130 V 445 consid. 1.2.1). Dans le cas d’espèce, la décision litigieuse ayant été rendue le 31 mars 2020, il y a lieu de s’en tenir aux faits survenus jusqu’à cette date et d’appliquer le droit en vigueur jusqu’à ce moment-là. Dès lors, la modification de la LAI du 19 juin 2020 (RO 2021 705 ; FF 2017 2559), dans la mesure où elle est entrée en vigueur au 1er janvier 2022, ne trouve pas application dans le cas d’espèce.</w:t>
      </w:r>
    </w:p>
    <w:p>
      <w:r>
        <w:rPr>
          <w:b/>
        </w:rPr>
        <w:t>E. 3.4</w:t>
      </w:r>
    </w:p>
    <w:p>
      <w:r>
        <w:t>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sécu- rité sociale (ci-après : règlement n° 883/2004 [RS 0.831.109.268.1]), ainsi que le règlement [CE]) n° 987/2009 du Parlement européen et du Conseil</w:t>
      </w:r>
    </w:p>
    <w:p>
      <w:r>
        <w:t>F-2477/2020 Page 6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 ATF 130 V 253 consid. 2.4 ; arrêt du TF 9C_465/2022 du 1er mars 2023 consid. 5.5).</w:t>
      </w:r>
    </w:p>
    <w:p>
      <w:r>
        <w:rPr>
          <w:b/>
        </w:rPr>
        <w:t>E. 4</w:t>
      </w:r>
    </w:p>
    <w:p>
      <w:r>
        <w:t>Selon l’art. 36 LAI, l’assuré qui compte trois années au moins de cotisations lors de la survenance de l’invalidité a droit à une rente d’invalidité ordinaire (al. 1). En l’occurrence, le recourant a versé des cotisations à l'AVS/AI suisse pendant plus de trois ans (cf. supra consid. A). Il remplit donc la condition de durée minimale de cotisations. Il reste à examiner si l’assuré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t>F-2477/2020 Page 7</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5.3</w:t>
      </w:r>
    </w:p>
    <w:p>
      <w:r>
        <w:t>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w:t>
      </w:r>
    </w:p>
    <w:p>
      <w:r>
        <w:rPr>
          <w:b/>
        </w:rPr>
        <w:t>E. 6.1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w:t>
      </w:r>
    </w:p>
    <w:p>
      <w:r>
        <w:t>F-2477/2020 Page 8</w:t>
      </w:r>
    </w:p>
    <w:p>
      <w:r>
        <w:rPr>
          <w:b/>
        </w:rPr>
        <w:t>E. 6.2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 ports médicaux (ATF 125 V 351 consid. 3b et 3c ; arrêt du TF 8C_425/2020 du 27 janvier 2021 consid. 2.3).</w:t>
      </w:r>
    </w:p>
    <w:p>
      <w:r>
        <w:rPr>
          <w:b/>
        </w:rPr>
        <w:t>E. 6.2.1</w:t>
      </w:r>
    </w:p>
    <w:p>
      <w:r>
        <w:t>Ainsi, le juge des assurances sociales doit examiner de manière ob- jective tous les moyens de preuve, quelle que soit leur provenance, puis décider si les documents à disposition permettent de porter un jugement valable sur le droit litigieux. A cet égard, l’élément déterminant pour recon- 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 sions du médecin sont dûment motivées (ATF 134 V 231 consid. 5.1;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 rêts du TF 8C_225/2021 du 10 juin 2021 consid. 3.2 ; 9C_555/2017 du 22 novembre 2017 consid. 3.1).</w:t>
      </w:r>
    </w:p>
    <w:p>
      <w:r>
        <w:rPr>
          <w:b/>
        </w:rPr>
        <w:t>E. 6.2.2</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 cernant la suite à donner à la demande de prestations. Ils ne posent pas de nouvelles conclusions médicales mais portent une appréciation sur celles déjà existantes (arrêt du TF 8C_616/2020 du 15 juin 2021 con- sid. 6.2.4 et les références citées).</w:t>
      </w:r>
    </w:p>
    <w:p>
      <w:r>
        <w:rPr>
          <w:b/>
        </w:rPr>
        <w:t>E. 6.2.3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w:t>
      </w:r>
    </w:p>
    <w:p>
      <w:r>
        <w:t>F-2477/2020 Page 9 à son patient (ATF 135 V 465 consid. 4.5 ; arrêt du TF 8C_691/2022 du 23 juin 2023 consid. 3.3). Toutefois, le simple fait qu’un rapport médical soit établi à la demande d’une partie et soit produit pendant la procédure ne justifie pas en soi des doutes quant à sa valeur probante (ATF 141 III 433 consid.2.3).</w:t>
      </w:r>
    </w:p>
    <w:p>
      <w:r>
        <w:rPr>
          <w:b/>
        </w:rPr>
        <w:t>E. 7</w:t>
      </w:r>
    </w:p>
    <w:p>
      <w:r>
        <w:t>En l’espèce, les éléments suivants ressortent du dossier.</w:t>
      </w:r>
    </w:p>
    <w:p>
      <w:r>
        <w:rPr>
          <w:b/>
        </w:rPr>
        <w:t>E. 7.1</w:t>
      </w:r>
    </w:p>
    <w:p>
      <w:r>
        <w:t>Le 4 janvier 1992, le recourant a été heurté au genou gauche par un véhicule alors qu’il circulait à cyclomoteur. Suite à ce sinistre, les rapports médicaux suivants figurent notamment au dossier de l’assureur-accident : - un rapport médical du 3 mars 1992 du Dr C._______, Chef de clinique au Service orthopédique de l’Hôpital cantonal de (…), lequel pose le diagnostic de fracture de la rotule gauche ; - un compte rendu opératoire du 11 janvier 1992 concernant une opéra- tion de cerclage par ostéosynthèse ainsi que la suture des fibres de Charpey et mentionnant que le tendon rotulien est intact ; - un certificat médical du 26 juin 1992, lequel fait état d’une capacité de travail entièrement récupérée à compter du 29 juin 1992 ; - un compte rendu opératoire du 19 octobre 1993, lequel rapporte une opération d’ablation du matériel d’ostéosynthèse le 13 octobre 1993 ; - un rapport médical final faisant état d’une incapacité de travail complète du 13 octobre 1993 au 5 novembre 1993 en raison de l’opération d’ablation du matériel d’ostéosynthèse susmentionnée ; - un rapport médical du 18 août 1999 du Dr D._______, lequel pose le diagnostic d’arthrose fémoro-patellaire en lien de causalité avec l’acci- dent de 1992 ; - un rapport médical du Dr E._______, spécialiste en chirurgie, daté du 14 août 2000, lequel relève l’apparition d’une arthrose fémoro-patel- laire, une atrophie du quadriceps ainsi qu’une discrète limitation du ge- nou gauche. Il souligne également que la profession de serveur n’est pas idéale, surtout à long terme ; - le résultat d’une IRM du genou gauche du 9 mai 2016, laquelle fait état d’une gonarthrose fémoro-patellaire latérale évoluée, d’une lésion</w:t>
      </w:r>
    </w:p>
    <w:p>
      <w:r>
        <w:t>F-2477/2020 Page 10 fissuraire de grade III de la corne postérieure du ménisque médial et d’un kyste du creux poplité ; - un compte rendu opératoire du 3 octobre 2016 relatif à une arthrosco- pie du genou gauche avec ménisectomie interne partielle ; - le résultat d’une IRM du genou gauche du 27 novembre 2017, laquelle fait état d’une gonarthrose sur les compartiments fémoro-tibial interne et fémoro-patellaire avec une disparition complète de l’interligne fé- moro-patellaire externe ; - un compte rendu opératoire du 3 janvier 2018 pour la mise en place d’une prothèse totale de genou, laquelle fait suite au diagnostic d’ar- throse fémoro-patellaire de stade 3 sur séquelle de fracture de rotule associée à une arthrose fémoro-tibial interne sur séquelle de ménis- cectomie ; - un rapport médical du 28 mai 2018 de la Dre F._______, médecin gé- néraliste, laquelle rapporte l’existence de gonalgies sur gonarthrose ; - un rapport médical du 26 septembre 2018 du Dr G._______, spécialiste en chirurgie orthopédique et traumatologique et médecin du recourant depuis le 24 mai 2016, lequel relate l’évolution de la situation médicale de son patient et les mesures prises pour y pallier ; - un avis orthopédique sur dossier du 31 octobre 2018, réalisé par le Dr H._______, spécialiste en chirurgie orthopédique et traumatologie de l’appareil locomoteur et spécialiste de la colonne vertébrale, man- daté par l’assureur-accident du recourant, lequel constate une arthrose fémoro-patellaire gauche ainsi qu’une arthrose fémoro-tibiale interne gauche ; - le résultat d’une échographie du genou gauche du 28 janvier 2019 fai- sant état d’un épanchement liquidien intra-articulaire ; - le résultat d’une scintigraphie osseuse du corps entier, réalisée le 29 janvier 2019, et montrant une sémiologie scintigraphique compatible avec une évolution algo-neuro-dystrophique persistante au niveau du genou gauche, diffusant vers le tibia sans dysfixation particulièrement évolutive au voisinage des interfaces péri-prothétiques, ainsi que des stigmates d’enthésopathie péri-patellaire ;</w:t>
      </w:r>
    </w:p>
    <w:p>
      <w:r>
        <w:t>F-2477/2020 Page 11 - un rapport d’expertise de chirurgie orthopédique du 12 février 2019, réalisé par le Dr H._______, lequel pose les diagnostics de status post fracture de la rotule gauche de type II de Duparc, status post réduction ouverte et ostéosynthèse de la fracture de rotule gauche par cerclage- haubanage, status post ablation de matériel d’ostéosynthèse de la ro- ture gauche, status post arthrose fémoro-patellaire, status post gonar- throse gauche, status post implantation d’une prothèse totale de genou gauche, status post tabagisme, status post hernie discale lombaire, status post cure d’hernie discale lombaire, status post maladie discale dégénérative sévère L3/L4 et L4/L5 avec zygarthrose bilatérale à pré- dominance gauche en L4/L5 et arthrose sacro-illiaque bilatérale. Il re- tient également diverses limitations fonctionnelles (soulever, porter, pousser, tirer des charges de plus de 15 à 25 kilos, travailler en position accroupie, ramper, grimper, effectuer des mouvements avec des am- plitudes extrêmes du genou) et considère que, dans une activité res- pectant ces limitations, la capacité de travail de l’intéressé est entière ; - un courrier du 17 avril 2019 du Dr G._______, lequel s’étonne de l’im- putabilité du problème de genou de l’assuré à son problème lombaire ; - un avis médical du 23 juin 2019 du Dr I._______, médecin-conseil pour l’assureur-maladie du recourant, lequel considère notamment que les conclusions du Dr H._______ sont prématurées et que la cause des troubles du genou est à trouver dans l’état post-opératoire ainsi que dans la prothèse elle-même ; - un complément d’expertise du 31 juillet 2019, réalisé par le Dr H._______, lequel souligne en particulier que le Dr I._______ a mal relevé la date de l’opération de pose de la prothèse de genou, de sorte que son argumentation est erronée ; - un rapport médical du 12 août 2019 de la Dre F._______, laquelle rap- porte une algodystrophie (syndrome douloureux régional complexe ; ci- après : CRPS) du genou gauche, survenue six mois après la pose de la prothèse avec une persistance des douleurs. Elle retient, à titre de limitations fonctionnelles, une limitation du périmètre de marche ainsi que des douleurs en cas de station debout prolongée ou de surutilisa- tion du genou gauche et fixe la capacité de travail dans l’activité habi- tuelle à 50% ;</w:t>
      </w:r>
    </w:p>
    <w:p>
      <w:r>
        <w:t>F-2477/2020 Page 12 - un rapport médical du 17 septembre 2019 du Dr G._______, lequel considère que l’état de son patient est resté stationnaire et qu’il est en mesure d’exercer son activité habituelle à 50% ; - un courrier du 26 novembre 2019 du Dr G._______, lequel rapporte un genou encore gonflé et considère que la gêne persistante à ce niveau pourrait provenir d’une rotule basse.</w:t>
      </w:r>
    </w:p>
    <w:p>
      <w:r>
        <w:rPr>
          <w:b/>
        </w:rPr>
        <w:t>E. 7.2</w:t>
      </w:r>
    </w:p>
    <w:p>
      <w:r>
        <w:t>Suite au dépôt de la demande du 16 septembre 2018, les documents suivants ont notamment été versés au dossier : - un rapport du 9 octobre 2018 du Dr J._______, rhumatologue, lequel fait état de douleurs arthrosiques du genou gauche avec mise en place d’une prothèse totale, ainsi que de lombalgies chroniques avec sciatal- gie droite avec opération en 2010 d’une hernie discale L5/S1 droite. Il retient, à titre de limitations fonctionnelles, une gêne à la marche et à l’appui ainsi que des douleurs lombaires chroniques. Il considère de plus la capacité de travail de 50%, tant dans l’activité habituelle que dans une activité adaptée (travail assis et sans port de charges) ; - un rapport non daté de la Dre F._______, reçu le 19 octobre 2018 par l’OAIE, lequel retient une persistance des gonalgies à gauche, une tu- méfaction et des douleurs lombaires chroniques. Elle relève l’impossi- bilité de maintenir une station debout prolongée et estime que son pa- tient est en mesure de travailler cinq heures par jour ; - un rapport E213 du 23 octobre 2018 du Dr G._______, lequel arrive à la conclusion que l’intéressé est encore en mesure d’exercer une acti- vité légère, dans le respect de certaines limitations (la flexion, le levage, le port de charges fréquents, la marche et l’alternance des stations de- bout/assise). Il considère que l’exercice de l’activité habituelle à mi- temps demeure exigible mais qu’une activité adaptée n’entre pas en ligne de compte. Cela étant, il estime que les limitations énumérées sont temporaires et qu’une amélioration de l’état de santé de l’assuré est possible ; - un rapport d’évaluation du 4 décembre 2018 de la division réadaptation professionnelle de l’OAI du canton B._______, lequel fait état du désir de l’assuré de prendre rapidement sa pré-retraite (60 ans) ; - une communication du 12 décembre 2018, ainsi que deux notes de travail du 10 janvier 2019 et du 30 juillet 2019, de la division</w:t>
      </w:r>
    </w:p>
    <w:p>
      <w:r>
        <w:t>F-2477/2020 Page 13 réadaptation professionnelle de l’OAI du canton B._______, desquelles il ressort qu’aucune mesure d’intervention précoce ne sera finalement mise en place, l’assuré préférant reprendre le travail pour son ancien employeur.</w:t>
      </w:r>
    </w:p>
    <w:p>
      <w:r>
        <w:rPr>
          <w:b/>
        </w:rPr>
        <w:t>E. 7.3</w:t>
      </w:r>
    </w:p>
    <w:p>
      <w:r>
        <w:t>En sus du dossier de l’assureur-accident, le rapport suivant figure no- tamment au dossier de l’autorité intimée : - un rapport du 14 janvier 2020 du Dr K._______, médecin SMR, lequel arrive à la conclusion, sur la base du dossier de l’assureur-accident, que l’intéressé présente une capacité de travail de 50% dans son acti- vité habituelle mais de 100% dans une activité adaptée aux limitations fonctionnelles (soulever, porter, pousser, tirer des charges de plus de 15 à 25 kilos, travailler en position accroupie, ramper, grimper, effectuer des mouvements avec des amplitudes extrêmes du genou).</w:t>
      </w:r>
    </w:p>
    <w:p>
      <w:r>
        <w:rPr>
          <w:b/>
        </w:rPr>
        <w:t>E. 7.4</w:t>
      </w:r>
    </w:p>
    <w:p>
      <w:r>
        <w:t>Dans le cadre de la procédure de recours, les rapports suivants ont encore été produits par les parties : - un rapport du 23 juin 2020 du Dr L._______, médecin SMR, lequel sou- ligne que le Dr H._______ a écarté la présence d’un CRPS dans son rapport d’expertise, sur la base de critères médicaux reconnus. Le mé- decin SMR relève également que l’examen pratiqué par le Dr H._______ ne fait pas ressortir la présence d’une rotule basse et qu’il en va de même des radiographies. Enfin, il souligne que le recou- rant se plaignait, auprès du Dr H._______, d’une douleur du creux po- plité irradiant dans le genou et non d’une douleur de la région rotu- lienne. Dès lors, il considère que les derniers rapports médicaux pro- duits n’apportent pas de nouvel élément objectif ; - une expertise médicale orthopédique du 23 décembre 2019, réalisée par le Dr M._______, spécialiste en chirurgie orthopédique pour le compte de l’assureur-maladie du recourant, lequel relève l’amyotrophie déjà mesurée par le Dr E._______ en 2000 et constate que la mobilité du genou après la pose de la prothèse est satisfaisante. Il considère dès lors que les difficultés et douleurs de l’assuré sont consécutives à son accident du genou et sans rapport avec les soucis lombaires. Il pose le diagnostic de syndrome douloureux résiduel modéré après pro- thèse totale de genou gauche pour arthrose fémoro-patellaire massive après cal vicieux et rotule basse sur ancienne fracture comminutive de rotule et estime que, si la capacité de travail dans l’activité habituelle est au mieux de 50%, elle est totale dans une activité adaptée</w:t>
      </w:r>
    </w:p>
    <w:p>
      <w:r>
        <w:t>F-2477/2020 Page 14 respectant les limitations fonctionnelles (activité assise ou semi-assise, avec déplacements occasionnels, port de charges de 5 kilos, occasion- nel de 10 kilos, exceptionnel de 15 kilos, la position bipodale continue et le piétinement étant contre-indiqués) ; - un avis médical du 3 novembre 2020 du Dr L._______, lequel revient sur l’expertise du Dr M._______ et relève que celui-ci arrive aux mêmes conclusions que le SMR s’agissant de la capacité de travail dans l’ac- tivité habituelle et dans une activité adaptée. Par ailleurs, le médecin SMR rappelle que les problèmes lombaires de l’assuré ont été retenus au titre de limitations fonctionnelles, compte tenu des antécédents d’opération d’hernie discale lombaire.</w:t>
      </w:r>
    </w:p>
    <w:p>
      <w:r>
        <w:rPr>
          <w:b/>
        </w:rPr>
        <w:t>E. 8.1</w:t>
      </w:r>
    </w:p>
    <w:p>
      <w:r>
        <w:t>En l’espèce, le Tribunal constate que l’autorité intimée s’est appuyée sur l’expertise du Dr H._______ pour rendre sa décision et a considéré, en cours de procédure, que l’expertise du Dr M._______ ne changeait pas son appréciation. Au sujet de ces deux expertises, le Tribunal relève que les experts ont cha- cun procédé à une description précise de l’anamnèse et du contexte mé- dical, avant d’examiner de façon circonstanciée et convaincante les points litigieux dans le cas d’espèce. Pour ce faire, ils ont dûment pris en consi- dération les résultats des examens objectifs réalisés, ainsi que les symp- tômes et plaintes subjectives du recourant, lesquelles se manifestaient sous la forme de douleurs au genou gauche et d’une boiterie. Devant le Dr H._______, il s’est également plaint de « lombalgies associées à la dou- leur du genou » et, devant le Dr M._______, de douleur à l’épaule gauche. Cela étant, le Dr H._______ n’a pas procédé à un examen clinique complet – il n’a ainsi pas examiné la colonne vertébrale – et n’a donc explicitement pas inclus l’affection dorsale dans son évaluation de la capacité de travail dans une activité adaptée. Son expertise doit par conséquent être consi- dérée comme incomplète et ne saurait se voir attribuer une pleine valeur probante. Si l’expertise du Dr H._______ ne peut ainsi être pleinement suivie, ce que le médecin du SMR a du reste reconnu dans son avis médical du 3 no- vembre 2020, il en va différemment de l’expertise réalisée par le Dr M._______. En effet, celui-ci a procédé à ses propres investigations et a notamment intégré la problématique de la colonne vertébrale dans son examen. Il avait par ailleurs connaissance du rapport d’expertise du Dr H._______ et l’a explicitement discuté dans son propre rapport. Dans la</w:t>
      </w:r>
    </w:p>
    <w:p>
      <w:r>
        <w:t>F-2477/2020 Page 15 mesure où l’expertise du Dr M._______ a été réalisée par un spécialiste, ayant une pleine connaissance du dossier et ayant procédé à un examen complet de l’assuré, une pleine valeur probante peut lui être attribuée et ses conclusions peuvent être suivies. Dès lors, le Tribunal retiendra que le recourant dispose d’une pleine capacité de travail dans une activité adap- tée à ses limitations fonctionnelles. Enfin, il convient de rappeler qu’en matière d’assurance-invalidité, l’autorité se repose sur le médecin pour déterminer la capacité de travail de l’assuré et les activités que celui-ci est encore en mesure d’exercer (cf. ATF 140 V 193 consid. 3.2), le diagnostic seul ne pouvant permettre de conclure sans autre à une atteinte invalidante. En effet, conformément à la jurisprudence, la capacité de travail doit être déterminée en premier lieu sur la base des constatations médicales relatives aux atteintes à la santé et aux limitations physiques et fonctionnelles en découlant (cf. art. 4 LAI et 7 al. 2 LPGA ; arrêt du TF 9C_289/2022 du 27 juillet 2023 consid. 5.3.2 et les références citées).</w:t>
      </w:r>
    </w:p>
    <w:p>
      <w:r>
        <w:rPr>
          <w:b/>
        </w:rPr>
        <w:t>E. 8.2</w:t>
      </w:r>
    </w:p>
    <w:p>
      <w:r>
        <w:t>Si, pour leur part, les médecins du recourant considèrent que celui-ci n’est pas en mesure d’exercer son activité habituelle à temps plein, ils ne se prononcent pas sur sa capacité de travail dans une activité adaptée ou alors de manière très succincte, sans donner les raisons les poussant à considérer que l’exercice d’une activité adaptée à temps plein n’est pas exigible de la part du recourant. Pour cette raison déjà, ils ne sauraient être suivis. Par ailleurs, ils n’expliquent en rien en quoi l’évaluation du Dr M._______ devrait être remise en cause. Enfin, il convient de conserver une certaine réserve dans la prise en compte de ces rapports, compte tenu de la relation de confiance qui unit le recourant et ses médecins (cf. supra consid. 6.2.3). Dès lors, dans la mesure où les deux experts aboutissent aux mêmes con- clusions s’agissant de la capacité de travail exigible et des limitations fonc- tionnelles, et où la position des médecins traitants n’est pas claire et moti- vée, l’OAIE pouvait reprendre les conclusions des expertises pour fixer la capacité de gain du recourant.</w:t>
      </w:r>
    </w:p>
    <w:p>
      <w:r>
        <w:rPr>
          <w:b/>
        </w:rPr>
        <w:t>E. 8.3</w:t>
      </w:r>
    </w:p>
    <w:p>
      <w:r>
        <w:t>Pour sa part enfin, le recourant rappelle que les experts et ses méde- cins traitants considèrent qu’il n’est plus en mesure d’exercer son activité habituelle à plein temps. Par ailleurs, compte tenu du fait qu’il est actif dans le milieu de la restauration depuis plus de quarante ans et qu’il travaille pour son employeur actuel depuis 1990, l’intéressé estime qu’une recon- version serait difficile à mettre en œuvre.</w:t>
      </w:r>
    </w:p>
    <w:p>
      <w:r>
        <w:t>F-2477/2020 Page 16 S’agissant de la première critique, il peut être renvoyé aux considérations exposées ci-avant, en relevant que le recourant ne conteste pas être en mesure d’exercer une activité adaptée à temps plein. S’agissant ensuite des difficultés de reconversion du recourant, celui-ci a bénéficié d’un plan de réadaptation de la part de l’OAIE, auquel il a été mis un terme suite au refus de l’assuré d’effectuer une mesure au sein des établissements publics d’insertion de (…), mesure ayant pour but de définir une orientation en adéquation avec les limitations fonctionnelles en vue d’une réinsertion professionnelle. Le recourant ne saurait dès lors aujourd’hui venir se prévaloir de difficultés de reconversion alors qu’il a, de son propre chef, mis un terme aux me- sures prises en ce sens par l’autorité intimée.</w:t>
      </w:r>
    </w:p>
    <w:p>
      <w:r>
        <w:rPr>
          <w:b/>
        </w:rPr>
        <w:t>E. 8.4</w:t>
      </w:r>
    </w:p>
    <w:p>
      <w:r>
        <w:t>Sur le vu de l’entier des éléments qui précèdent, le Tribunal retient pour établi que le recourant est en mesure d’exercer une activité adaptée à plein temps depuis le 1er avril 2018, son activité habituelle de serveur-chef de rang n’étant exigible qu’à 50% à compter de cette date. En particulier, les différents rapports des médecins traitants du recourant ne sont pas de na- ture à remettre en cause les conclusions des expertises réalisées par le Dr H._______ et le Dr M._______, telles que reprises par les médecins du SMR, étant précisé qu’aucun des médecins qui suivent (ou ont suivi) le recourant ne motive les raisons pour lesquelles une pleine capacité de tra- vail dans une activité adaptée ne serait pas exigible.</w:t>
      </w:r>
    </w:p>
    <w:p>
      <w:r>
        <w:rPr>
          <w:b/>
        </w:rPr>
        <w:t>E. 9</w:t>
      </w:r>
    </w:p>
    <w:p>
      <w:r>
        <w:t>Il reste à déterminer si le taux d’invalidité de 11% dans une activité adaptée à compter du 1er avril 2018 peut être confirmé. Pour obtenir ce taux, l’OAIE a eu recours à la méthode générale. Une telle façon de procéder, non contestée, est conforme au droit (cf. supra consid. 5.3), l’intéressé ayant travaillé à temps plein avant le début de son incapacité de travail le 17 décembre 2017. En ce qui concerne le calcul de la perte de gain (cf. supra consid. 2.1), reposant sur les données de l’Office fédéral de la statistique 2016 (OFS ; salaire mensuel brut [valeur centrale] pour les hommes [TA1_tirage_skill_level]) et indexé selon l’Indice suisse nominal des salaires, celui-ci n’est pas contesté par le recourant. Pour le surplus, le Tribunal n’identifie pas d’éléments du calcul qui l’inciteraient à procéder à un examen d’office de celui-ci, lequel semble correct dans son résultat (cf. supra consid. 3.1).</w:t>
      </w:r>
    </w:p>
    <w:p>
      <w:r>
        <w:t>F-2477/2020 Page 17</w:t>
      </w:r>
    </w:p>
    <w:p>
      <w:r>
        <w:rPr>
          <w:b/>
        </w:rPr>
        <w:t>E. 10</w:t>
      </w:r>
    </w:p>
    <w:p>
      <w:r>
        <w:t>Il résulte de ce qui précède que le recours doit être rejeté et la décision du 31 mars 2020 confirmée.</w:t>
      </w:r>
    </w:p>
    <w:p>
      <w:r>
        <w:rPr>
          <w:b/>
        </w:rPr>
        <w:t>E. 10.1</w:t>
      </w:r>
    </w:p>
    <w:p>
      <w:r>
        <w:t>Vu l'issue du litige, les frais judiciaires – fixés à 800.- francs – sont mis à la charge du recourant (art. 63 PA en relation avec les art. 2 ss du règle- ment du 21 février 2008 concernant les frais, dépens et indemnités fixés par le Tribunal administratif fédéral [FITAF, RS 173.320.2]). Ils sont préle- vés sur l'avance de frais du même montant dont il s'est acquitté au cours de l'instruction.</w:t>
      </w:r>
    </w:p>
    <w:p>
      <w:r>
        <w:rPr>
          <w:b/>
        </w:rPr>
        <w:t>E. 10.2</w:t>
      </w:r>
    </w:p>
    <w:p>
      <w:r>
        <w:t>Il n'est pas alloué de dépens (art. 7 al. 3 FITAF). (dispositif en page suivante)</w:t>
      </w:r>
    </w:p>
    <w:p>
      <w:r>
        <w:t>F-2477/2020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