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F-2406/2025 vom 11. April 2025</w:t>
      </w:r>
    </w:p>
    <w:p>
      <w:r>
        <w:t>Bundesverwaltungsgericht, 2025-04-11, FR</w:t>
      </w:r>
    </w:p>
    <w:p>
      <w:r>
        <w:rPr>
          <w:b/>
        </w:rPr>
        <w:t xml:space="preserve">Quelle: </w:t>
      </w:r>
      <w:r>
        <w:t>https://mcp.opencaselaw.ch/entscheid/bvger_F-2406_2025</w:t>
      </w:r>
    </w:p>
    <w:p>
      <w:r>
        <w:t>FR: TAF F-2406/2025 du 11 avril 2025</w:t>
      </w:r>
    </w:p>
    <w:p>
      <w:r>
        <w:t>IT: TAF F-2406/2025 del 11 aprile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1.4</w:t>
      </w:r>
    </w:p>
    <w:p>
      <w:r>
        <w:t>Saisi d'un recours contre une décision de non-entrée en matière sur une demande d'asile, le TAF se limite à en examiner le bien-fondé (cf. ATAF 2017 VI/5 consid. 3.1).</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2.3</w:t>
      </w:r>
    </w:p>
    <w:p>
      <w:r>
        <w:t>Dans une procédure de reprise en charge tel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2.4</w:t>
      </w:r>
    </w:p>
    <w:p>
      <w:r>
        <w:t>En l'occurrence, le recourant ne conteste pas la compétence de la France pour traiter de sa demande d'asile, étant encore précisé que les autorités françaises compétentes ont expressément accepté la requête de reprise en charge formulée par le SEM, dans le respect des délais prévus aux art. 21 par. 1 et 22 par. 1 RD III. Le fait que la base réglementaire indiquée sur la demande de reprise en charge soumise par le SEM (art. 18 par. 1 let. d RD III) diffère de celle mentionnée par les autorités françaises dans leur réponse (art. 18 par. 1 let. b RD III) ne saurait remettre en cause ce raisonnement. Dans ces deux hypothèses, en effet, les procédures applicables - et en particulier les délais auxquels elles sont soumises - sont identiques (cf. art. 23 ss. du règlement Dublin III; cf. ATAF 2019 VI/7 consid. 6.2).</w:t>
      </w:r>
    </w:p>
    <w:p>
      <w:r>
        <w:rPr>
          <w:b/>
        </w:rPr>
        <w:t>E. 2.5</w:t>
      </w:r>
    </w:p>
    <w:p>
      <w:r>
        <w:t>A l'appui de son recours, le recourant s'est opposé à son transfert vers la France, estimant que l'accueil y avait été défaillant. Il a notamment déclaré avoir dû dormir dans la rue et précisé n'avoir pu bénéficier d'un logement et d'une couverture de sécurité sociale durant trois mois seulement. En sus, lors de son entretien Dublin du 10 mars 2025, il avait affirmé avoir été condamné à six mois de prison après une bagarre et avoir été libéré au bout de trois mois, sans comprendre cette condamnation.</w:t>
      </w:r>
    </w:p>
    <w:p>
      <w:r>
        <w:rPr>
          <w:b/>
        </w:rPr>
        <w:t>E. 2.6</w:t>
      </w:r>
    </w:p>
    <w:p>
      <w:r>
        <w:t>Il convient en premier lieu d'examiner, en vertu de l'art. 3 par. 2 al. 2 RD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2.7</w:t>
      </w:r>
    </w:p>
    <w:p>
      <w:r>
        <w:t>Conformément à une jurisprudence constante et régulièrement actualisée, il n'y a aucune raison sérieuse de penser qu'il existe en France des défaillances systémiques au sens de l'art. 3 par. 2 RD III (cf., parmi d'autres, les arrêts du TAF F-1068/2025 du 21 février 2025 consid. 4, F-395/2025 du 23 janvier 2025 consid. 3.3 s.).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Dans ces conditions, l'application de l'art. 3 par. 2, 2ème phrase du règlement Dublin III ne se justifie pas.</w:t>
      </w:r>
    </w:p>
    <w:p>
      <w:r>
        <w:rPr>
          <w:b/>
        </w:rPr>
        <w:t>E. 2.8</w:t>
      </w:r>
    </w:p>
    <w:p>
      <w:r>
        <w:t>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 Ses affirmations ne sauraient dès lors remettre en cause la présomption du respect par la France, qui est un Etat de droit, de ses obligations tirées du droit international public et du droit européen. Cela étant, si l'intéressé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F-7816/2024 du 17 décembre 2024).</w:t>
      </w:r>
    </w:p>
    <w:p>
      <w:r>
        <w:rPr>
          <w:b/>
        </w:rPr>
        <w:t>E. 2.9</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w:t>
      </w:r>
    </w:p>
    <w:p>
      <w:r>
        <w:rPr>
          <w:b/>
        </w:rPr>
        <w:t>E. 3</w:t>
      </w:r>
    </w:p>
    <w:p>
      <w:r>
        <w:t>Le recourant a, de plus, implicitement sollicité l'application de la clause de souveraineté (art. 17 RD III).</w:t>
      </w:r>
    </w:p>
    <w:p>
      <w:r>
        <w:rPr>
          <w:b/>
        </w:rPr>
        <w:t>E. 3.1</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2022 I/6 consid. 4.3.3.1 in fine et les réf. citées).</w:t>
      </w:r>
    </w:p>
    <w:p>
      <w:r>
        <w:rPr>
          <w:b/>
        </w:rPr>
        <w:t>E. 3.2</w:t>
      </w:r>
    </w:p>
    <w:p>
      <w:r>
        <w:t>En l'espèce, les pièces au dossier font état de consultations médicales pour une blessure à la main droite (cinq points de suture), des problèmes de sommeil et de stress et une pharyngite. Cela étant, ces différents troubles n'apparaissent pas graves au point de constituer un obstacle à un transfert vers la France, ce pays étant en mesure d'offrir des soins médicaux adaptés et de garantir l'accès au traitement nécessaires (cf. arrêt de la Cour EDH, Paposhvili c. Belgique [GC] du 13 décembre 2016, requête n° 41738/10, confirmé dans l'arrêt de la Cour EDH Savran c. Danemark [GC] du 7 décembre 2021, requête 57467/15). De plus, rien au dossier n'indique que l'intéressé ne serait pas en mesure de voyager, ni que ses troubles nécessitent impérativement un traitement sur le long cours en Suisse avant de pouvoir envisager un voyage vers la France. Partant, la situation du recourant n'est pas marquée par des considérations humanitaires impérieuses au sens de la jurisprudence de la Cour EDH précitée (cf. affaire Paposhvili c. Belgique op. cit., §183).</w:t>
      </w:r>
    </w:p>
    <w:p>
      <w:r>
        <w:rPr>
          <w:b/>
        </w:rPr>
        <w:t>E. 3.3</w:t>
      </w:r>
    </w:p>
    <w:p>
      <w:r>
        <w:t>En outre, la France, qui est liée par la directive Accueil (référence complète : directive n° 2013/33/UE du Parlement européen et du Conseil du 26 juin 2013 établissant des normes pour l'accueil des personnes demandant la protection internationale [refonte ; JO L 180 du 29.06.2013]) et dispose de structures médicales comparables à celles existant en Suisse (cf. arrêts du TAF F-395/2025 du 23 janvier 2025 consid. 5.2, F-5726/2024 du 17 septembre 2024 consid. 3.4.2),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3.4</w:t>
      </w:r>
    </w:p>
    <w:p>
      <w:r>
        <w:t>Il s'ensuit que le transfert du recourant en France n'est pas contraire aux obligations de la Suisse relevant du droit international public. Le SEM n'était donc pas tenu de renoncer au transfert et d'examiner lui-même la demande d'asile de l'intéressé.</w:t>
      </w:r>
    </w:p>
    <w:p>
      <w:r>
        <w:rPr>
          <w:b/>
        </w:rPr>
        <w:t>E. 3.5</w:t>
      </w:r>
    </w:p>
    <w:p>
      <w:r>
        <w:t>Enfin, le Tribunal constate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RD III (cf. ATAF 2022 I/6 consid. 4.3.3.1).</w:t>
      </w:r>
    </w:p>
    <w:p>
      <w:r>
        <w:rPr>
          <w:b/>
        </w:rPr>
        <w:t>E. 4.1</w:t>
      </w:r>
    </w:p>
    <w:p>
      <w:r>
        <w:t>Au regard de l'ensemble des éléments qui précèdent, c'est à bon droit que l'autorité inférieure n'est pas entrée en matière sur la demande d'asile de l'intéressé, en application de l'art. 31a al. 1 let. b LAsi, et a prononcé son transfert vers la France, en application de l'art. 44 1ère phrase LAsi, aucune exception à la règle générale du renvoi n'étant réalisée (art. 32 OA 1). Par conséquent, le recours doit être rejeté.</w:t>
      </w:r>
    </w:p>
    <w:p>
      <w:r>
        <w:rPr>
          <w:b/>
        </w:rPr>
        <w:t>E. 4.2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recourant n'a pas droit à des dépens (cf.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