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F-2404/2017 vom 24. April 2018</w:t>
      </w:r>
    </w:p>
    <w:p>
      <w:r>
        <w:t>Bundesverwaltungsgericht, 2018-04-24, DE</w:t>
      </w:r>
    </w:p>
    <w:p>
      <w:r>
        <w:rPr>
          <w:b/>
        </w:rPr>
        <w:t xml:space="preserve">Quelle: </w:t>
      </w:r>
      <w:r>
        <w:t>https://mcp.opencaselaw.ch/entscheid/bvger_F-2404_2017</w:t>
      </w:r>
    </w:p>
    <w:p>
      <w:r>
        <w:t>FR: TAF F-2404/2017 du 24 avril 2018</w:t>
      </w:r>
    </w:p>
    <w:p>
      <w:r>
        <w:t>IT: TAF F-2404/2017 del 24 aprile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Überschreitungen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die angefochtene Verfügung zunächst implizit in formeller Hinsicht. Die Vorinstanz habe das Einreiseverbot aus "polizeipräventiven Gründen" ausgesprochen, ohne weiter darauf einzugehen, worin diese genau bestünden. Auch sei in der angefochtenen Verfügung nicht dargelegt worden, inwiefern das vom Beschwerdeführer begangene Vergehen einen ernstzunehmenden Verstoss darstellen solle. Ferner könne dem Strafbefehl weder die Drogenmenge noch der Reinheitsgehalt entnommen werden. Zu prüfen ist somit, ob der Anspruch des Beschwerdeführers auf rechtliches Gehör aufgrund einer ungenügenden Begründung der angefochtenen Verfügung verletzt wurde.</w:t>
      </w:r>
    </w:p>
    <w:p>
      <w:r>
        <w:rPr>
          <w:b/>
        </w:rPr>
        <w:t>E. 3.2</w:t>
      </w:r>
    </w:p>
    <w:p>
      <w:r>
        <w:t>Soweit die Rügen des Beschwerdeführers den Strafbefehl der Staatsanwaltschaft vom 1. Februar 2016 betreffen, ist festzuhalten, dass dieser unangefochten in Rechtskraft erwachsen ist.</w:t>
      </w:r>
    </w:p>
    <w:p>
      <w:r>
        <w:rPr>
          <w:b/>
        </w:rPr>
        <w:t>E. 3.3</w:t>
      </w:r>
    </w:p>
    <w:p>
      <w:r>
        <w:t>Die in Art. 35 VwVG statuierte Begründungspflicht dient der rationalen und transparenten Entscheidfindung der Behörden und soll die Betroffenen in die Lage versetzen, den Entscheid sachgerecht anfechten zu können.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w:t>
      </w:r>
    </w:p>
    <w:p>
      <w:r>
        <w:rPr>
          <w:b/>
        </w:rPr>
        <w:t>E. 3.4</w:t>
      </w:r>
    </w:p>
    <w:p>
      <w:r>
        <w:t>Entgegen der Auffassung des Beschwerdeführers lassen sich aus dem Umfang der Begründung keine direkten Schlüsse auf ihr rechtliches Genügen ziehen. Massgebend ist allein, ob sie ihre Funktion erfüllt. Unbestrittenermassen ist die Begründung der Vorinstanz in der angefochtenen Verfügung mit Verweis auf den Strafbefehl der Staatsanwaltschaft vom 1. Februar 2016 knapp ausgefallen. Mit der Erwähnung von Art. 67 AuG wurde zudem die konkrete Gesetzesbestimmung, auf welche sich das SEM beim Erlass einer Verfügung stützte, nur bedingt dargetan. Dessen ungeachtet sind keine Anhaltspunkte erkennbar, die dafür sprechen würden, dass sich die Vorinstanz unzureichend mit dem Strafbefehl und den übrigen kantonalen Akten auseinandergesetzt hätte. Zu berücksichtigen ist ferner, dass Einreiseverbote zu den quantitativ häufigsten Anordnungen der schweizerischen Verwaltungspraxis zählen und das SEM als erstinstanzliche Behörde speditiv zu entscheiden hat. An die Begründungsdichte dürfen deshalb keine überspannten Anforderungen gestellt werden (vgl. Urteil des BVGer F-4156/2016 vom 8. Dezember 2017 E. 3.4 m.H.). Wie die vorliegende Beschwerde zu belegen vermag, war es dem Beschwerdeführer möglich, ein materiell begründetes Rechtsmittel gegen die Verfügung zu erheben.</w:t>
      </w:r>
    </w:p>
    <w:p>
      <w:r>
        <w:rPr>
          <w:b/>
        </w:rPr>
        <w:t>E. 3.5</w:t>
      </w:r>
    </w:p>
    <w:p>
      <w:r>
        <w:t>Die erhobene Rüge erweist sich demnach als unbegründet. Nachfolgend ist dementsprechend die Rechtmässigkeit des materiell-rechtlichen Gehalts der angefochtenen Verfügung zu prüfen.</w:t>
      </w:r>
    </w:p>
    <w:p>
      <w:r>
        <w:rPr>
          <w:b/>
        </w:rPr>
        <w:t>E. 4.1</w:t>
      </w:r>
    </w:p>
    <w:p>
      <w:r>
        <w:t>Landesrechtliche Grundlage der angefochtenen Verfügung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gemäss Art. 67 Abs. 3 AuG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ausnahmsweise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5.1</w:t>
      </w:r>
    </w:p>
    <w:p>
      <w:r>
        <w:t>Der Beschwerdeführer wurde am 30. Januar 2016 wegen des Verdachts auf Drogenhandel festgenommen. Die Polizei konnte zuvor eine Drogenkonsumentin anhalten, die zugab, vom Beschwerdeführer ein Kügelchen Kokain für Fr. 20.- gekauft zu haben (vgl. SEM act. 1/31; kant act. 4/8). Anlässlich der Einvernahme gab sie zu Protokoll, sie konsumiere Drogen und habe wiederholt Kokain vom Beschwerdeführer erworben, welcher sich seit rund eineinhalb bis zwei Jahren in der Schweiz aufhalte. In diesem Zeitraum habe sie bei ihm rund 50mal Kokainkügelchen bezogen. Sie hätten einen speziellen "Deal" vereinbart und so erhalte sie das Kokain günstiger, wenn sie seine Telefonnummer weiterleite (vgl. zum Ganzen SEM act. 1/11-17; kant act. 4/25-31). Der Beschwerdeführer bestritt diese Aussagen, räumte jedoch ein, sich seit Dezember 2015 in der Schweiz aufzuhalten. Er treffe sich ab und zu mit der Drogenkonsumentin, die er im Januar 2016 kennengelernt habe. Sie frage ihn jedes Mal, ob er Kokain dabei habe, er habe ihr aber noch nie Kokain verkauft oder gegeben (vgl. zum Ganzen SEM act. 1/21-29; kant. act. 4/10-18).</w:t>
      </w:r>
    </w:p>
    <w:p>
      <w:r>
        <w:rPr>
          <w:b/>
        </w:rPr>
        <w:t>E. 5.2</w:t>
      </w:r>
    </w:p>
    <w:p>
      <w:r>
        <w:t>Mit Entscheid vom 1. Februar 2016 verfügte das Migrationsamt St. Gallen gestützt auf Art. 74 Abs. 1 AuG die Ausgrenzung des Beschwerdeführers.</w:t>
      </w:r>
    </w:p>
    <w:p>
      <w:r>
        <w:rPr>
          <w:b/>
        </w:rPr>
        <w:t>E. 5.3</w:t>
      </w:r>
    </w:p>
    <w:p>
      <w:r>
        <w:t>Mit Strafbefehl der Staatsanwaltschaft vom 1. Februar 2016 wurde der Beschwerdeführer wegen Vergehens gegen das Betäubungsmittelgesetz zu einer bedingten Geldstrafe von 180 Tagessätzen à Fr. 30.- (bei einer Probezeit von zwei Jahren) und einer Busse von Fr. 1'000 bestraft (SEM act. 3/36-38; kant. act. 8/50-52). Die sanktionierte Straftat stellt einen Verstoss gegen die öffentliche Ordnung und Sicherheit im Sinne von Art. 67 Abs. 2 Bst. a AuG dar, für die ein Einreiseverbot verhängt werden kann. Der Strafbefehl erwuchs unangefochten in Rechtskraft.</w:t>
      </w:r>
    </w:p>
    <w:p>
      <w:r>
        <w:rPr>
          <w:b/>
        </w:rPr>
        <w:t>E. 5.4</w:t>
      </w:r>
    </w:p>
    <w:p>
      <w:r>
        <w:t>Demzufolge gilt es als erstellt, dass der Beschwerdeführer durch sein bisheriges Verhalten hinreichende Gründe für die Verhängung einer Fernhaltemassnahme gesetzt hat. Die in der Beschwerde sowie in der Replik dargelegte Überzeugung, wonach von ihm keine Gefahr (mehr) für die Schweiz ausgehe und die öffentliche Ordnung durch ihn nicht bedroht sei, sowie der Einwand, er sei bereits für seine Vergehen strafrechtlich belangt worden, greifen hier nicht. Zu berücksichtigen ist diesbezüglich,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Vollzugsbehörden strengerer Beurteilungsmassstab (vgl. BGE 137 II 233 E. 5.2.2 oder Urteil des BGer 2C_516/2014 vom 24. März 2015 E. 4.3.2 je m.H.). Wie bereits ausgeführt, ist die Verhängung eines Einreiseverbots denn auch keine Sanktion für vergangenes Fehlverhalten, sondern stellt eine Massnahme zur Abwendung künftiger Störungen der öffentlichen Sicherheit und Ordnung dar (vgl. vorstehend E. 4.2). Zudem zeigt das jüngste Ereignis (Anhaltung des Beschwerdeführers am 5. April 2017 in St. Gallen), dass er trotz bestehendem - und ihm am 29. März 2017 nachweislich eröffneten - Einreiseverbot in die Schweiz eingereist und somit nicht bereit ist, sich an unsere Rechtsordnung und die allgemeinen Gepflogenheiten zu halten. Die Voraussetzungen für ein Einreiseverbot gemäss Art. 67 Abs. 2 Bst. a AuG sind demnach fraglos erfüllt.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6.2</w:t>
      </w:r>
    </w:p>
    <w:p>
      <w:r>
        <w:t>Der Beschwerdeführer ist in einem besonders sensiblen Bereich (Betäubungsmitteldelikt) verurteilt worden. Er hat als Kriminaltourist über einen längeren Zeitraum Kokain verkauft. Zudem hat ihn das ihm eröffnete Einreiseverbot nicht davon abgehalten, erneut in die Schweiz zu reisen. Es liegt insbesondere ein generalpräventiv motiviertes öffentliches Interesse an der Fernhaltung des Beschwerdeführers vor, dies auch im Sinne einer kontinuierlichen Praxis und als Zeichen gegenüber Kriminaltouristen. Eine spezialpräventive Zielsetzung der Massnahme ist darin zu sehen, dass sie den Betroffenen ermahnt, bei einer allfälligen künftigen Wiedereinreise in die Schweiz nach Ablauf der Dauer des Einreiseverbots die geltenden Regeln einzuhalten. Es besteht somit ein gewichtiges öffentliches Interesse an einer Fernhaltung des Beschwerdeführers.</w:t>
      </w:r>
    </w:p>
    <w:p>
      <w:r>
        <w:rPr>
          <w:b/>
        </w:rPr>
        <w:t>E. 6.3</w:t>
      </w:r>
    </w:p>
    <w:p>
      <w:r>
        <w:t>Den öffentlichen Interessen sind die privaten Interessen des Beschwerdeführers gegenüber zu stellen. Diesbezüglich machte er geltend, er habe Freunde und Bekannte in der Schweiz. Ausserdem reise er durch die Schweiz, wenn er von Spanien aus seine in Polen lebende Familie besuche (vgl. vorstehend Bst. D).</w:t>
      </w:r>
    </w:p>
    <w:p>
      <w:r>
        <w:rPr>
          <w:b/>
        </w:rPr>
        <w:t>E. 6.4</w:t>
      </w:r>
    </w:p>
    <w:p>
      <w:r>
        <w:t>Aufgrund seines Aufenthaltstitels für Spanien wurde auf die Ausschreibung des Beschwerdeführers im Schengener Informationssystem SIS II verzichtet. Dem Beschwerdeführer ist es folglich nicht verwehrt, sich im Schengenraum - mit Ausnahme der Schweiz und des Fürstentums Liechtenstein - aufzuhalten. Wie das SEM in seiner Vernehmlassung zu Recht festgestellt hat, kann er nach wie vor von Spanien aus seine in Polen lebende Ehefrau sowie die gemeinsame Tochter besuchen. Dass er dazu inskünftig - auf dem Landweg - über Deutschland und nicht mehr über die Schweiz reisen kann, ist ihm zuzumuten. Sein dargelegtes Interesse, weiterhin in die Schweiz einreisen zu können, um den Kontakt mit Freunden aufrechtzuerhalten, blieb sehr vage und unbestimmt (vgl. vorstehend Bst. F.). Demnach sind keine privaten Interessen ersichtlich, die eine Aufhebung oder eine Verkürzung des Einreiseverbots zu rechtfertigen vermögen. Überdies sind dem Beschwerdeführer während der Geltungsdauer der Fernhaltemassnahme Besuchsaufenthalte bei ihm allfällig nahe stehenden Personen in der Schweiz nicht schlichtweg untersagt; das SEM kann die Fernhaltemassnahme auf begründetes Gesuch hin aus humanitären oder anderen wichtigen Gründen befristet suspendieren (vgl. Art. 67 Abs. 5 AuG; BVGE 2013/4 E. 7.4.3 m.H.).</w:t>
      </w:r>
    </w:p>
    <w:p>
      <w:r>
        <w:rPr>
          <w:b/>
        </w:rPr>
        <w:t>E. 6.5</w:t>
      </w:r>
    </w:p>
    <w:p>
      <w:r>
        <w:t>Eine wertende Gewichtung der sich entgegenstehenden Interessen führt das Bundesverwaltungsgericht zum Schluss, dass das auf vier Jahre befristete Einreiseverbot auch im gegenwärtigen Zeitpunkt unter Berücksichtigung der gängigen Praxis eine verhältnismässige und angemessene Massnahme zum Schutz der öffentlichen Ordnung darstellt.</w:t>
      </w:r>
    </w:p>
    <w:p>
      <w:r>
        <w:rPr>
          <w:b/>
        </w:rPr>
        <w:t>E. 7</w:t>
      </w:r>
    </w:p>
    <w:p>
      <w:r>
        <w:t>Aus diesen Erwägungen ergibt sich, dass die angefochtene Verfügung im Lichte von Art. 49 VwVG nicht zu beanstanden ist. Die Beschwerde ist daher abzuweisen.</w:t>
      </w:r>
    </w:p>
    <w:p>
      <w:r>
        <w:rPr>
          <w:b/>
        </w:rPr>
        <w:t>E. 8</w:t>
      </w:r>
    </w:p>
    <w:p>
      <w:r>
        <w:t>Entsprechend dem Ausgang des Verfahrens besteht kein Anspruch auf Parteientschädigung und die Kosten sind dem Beschwerdeführer aufzuerlegen (vgl. Art. 63 Abs. 1 VwVG i.V.m. Art. 1 ff. des Reglements vom 21. Februar 2008 über die Kosten und Entschädigungen vor dem Bundesverwaltungsgericht [VGKE, SR 173.320.2]). Die Verfahrenskosten von Fr. 1'000.-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