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F-2388/2023 vom 5. Mai 2023</w:t>
      </w:r>
    </w:p>
    <w:p>
      <w:r>
        <w:t>Bundesverwaltungsgericht, 2023-05-05, DE</w:t>
      </w:r>
    </w:p>
    <w:p>
      <w:r>
        <w:rPr>
          <w:b/>
        </w:rPr>
        <w:t xml:space="preserve">Quelle: </w:t>
      </w:r>
      <w:r>
        <w:t>https://mcp.opencaselaw.ch/entscheid/bvger_F-2388_2023</w:t>
      </w:r>
    </w:p>
    <w:p>
      <w:r>
        <w:t>FR: TAF F-2388/2023 du 5 mai 2023</w:t>
      </w:r>
    </w:p>
    <w:p>
      <w:r>
        <w:t>IT: TAF F-2388/2023 del 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Beschwerdeführenden bemängeln in formeller Hinsicht die textbausteinartigen Ausführungen des SEM, welche nicht auf den Einzelfall Bezug genommen hätten. Die Vorinstanz habe sich weder mit den Verhältnissen in Kroatien noch den individuellen Umständen, die ihre Familie zur Weiterreise veranlasst hätten, auseinandergesetzt. Auf die nach dem Grenzübertritt erlittene Behandlung sei die Vorinstanz nur oberflächlich und im Rahmen eines Textbausteins eingegangen. Die blossen Behauptungen der Vorinstanz, wonach gegen die Missbräuche von einzelnen (Nennung Personen) rechtliche Schritte eingeleitet werden könnten, seien als ungenügend zu erachten. Das SEM habe ihre Aussagen in der angefochtenen Verfügung zwar zusammengefasst, aber in der Entscheidfindung weder berücksichtigt noch gewürdigt. Schliesslich sei es seiner Pflicht, ihre gesundheitliche Situation hinreichend abzuklären und in den Erwägungen zu berücksichtigen, nicht nachgekommen. Dadurch liege eine Verletzung der Pflicht zur richtigen und vollständigen Sachverhaltsermittlung sowie des rechtlichen Gehörs (Begründungspflicht) vor.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der Beschwerdeführenden und den vorliegenden Beweismitteln sowie gestützt auf weitere Abklärungen beim (Nennung Dienst) mit der individuellen Situation der Beschwerdeführenden, ihren gesundheitlichen Problemen - so insbesondere auch denjenigen der Kinder -, der Verfügbarkeit einer adäquaten Behand-lung in Kroatien (...) sowie mit der geeigneten Unterbringung von vulnerablen Personen ebendort auseinandergesetzt. Es ist nicht ersichtlich, in welcher Hinsicht hier noch konkrete weitere Abklärungen vorgenommen werden müssten. Es ist demnach keine Verletzung des Untersuchungsgrundsatzes festzustellen.</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 entgegen der Auffassung der Beschwerdeführenden - eine Einzelfallprüfung vorgenommen, indem sie nach Prüfung und Würdigung der Parteivorbringen sowie der zur Stützung derselben eingereichten Beweismittel hinreichend nachvollziehbar aufgezeigt hat, von welchen Überlegungen sie sich - gerade auch in individueller Hinsicht - leiten liess (vgl. angefochtene Verfügung, Ziff. II S. 5 ff.). Dabei musste sie sich nicht ausdrücklich mit jeder tatbestandlichen Behauptung und jedem rechtlichen Einwand auseinandersetzen, sondern durfte sich auf die wesentlichen Gesichtspunkte beschränken (BGE 143 III 65 E. 5.2), was sie hier getan hat. So sind den Erörterungen der Vorinstanz Ausführungen zum Verhalten der kroatischen Grenzbehörden den Beschwerdeführenden gegenüber und den in diesem Zusammenhang geltend gemachten gesundheitlichen Beeinträchtigungen, zur Frage einer Kettenabschiebung und zu derjenigen des Vorliegens von systemischen Mängeln im kroatischen Asyl- und Aufnahmesystem sowie zu den Möglichkeiten der Beschwerdeführenden, sich gegen unkorrektes Verhalten zu wehren, zu entnehmen.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Beweismittel nicht teilen, ist keine Verletzung des rechtlichen Gehörs, sondern betrifft eine materielle Frage betreffend die Würdigung der vorgebrachten Überstellungshindernisse.</w:t>
      </w:r>
    </w:p>
    <w:p>
      <w:r>
        <w:rPr>
          <w:b/>
        </w:rPr>
        <w:t>E. 4.4</w:t>
      </w:r>
    </w:p>
    <w:p>
      <w:r>
        <w:t>Die formellen Rügen erweisen sich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Den Akten zufolge stellten die Beschwerdeführenden am (...) in Kroatien Asylgesuche und wurden dort gleichentags daktyloskopiert (EURODAC-Abgleich vom 25. Oktober 2022; vgl. Sachverhalt Bst. A.a). Daran vermögen ihre Behauptungen, sie hätten in Kroatien kein Asylgesuch gestellt, nichts zu ändern, zumal sie selbst angaben, sie seien von der kroatischen Polizei aufgegriffen worden, die ihre Fingerabdrücke - wenn auch zwangsweise - abgenommen habe (vgl. SEM act. 1206361-32/3 S. 1, SEM act. 1206361-34/2 S. 2). Die zuständigen kroatischen Behörden stimmten den Wiederaufnahmeersuchen des SEM vom 23. Dezember 2022 innert der massgeblichen Frist denn auch ausdrücklich zu. Damit sind sowohl die Antragsstellung in Kroatien als auch der Umstand als erstellt zu erachten, dass das kroatische Verfahren zur Bestimmung des für die Asylgesuche der Beschwerdeführenden zuständigen Mitgliedstaates gemäss Art. 20 Abs. 5 Dublin-III-VO noch nicht abgeschlossen wurde und nach einer Rücküberstellung der Beschwerdeführenden fortgesetzt wird (vgl. auch Urteil des BVGer F-5023/2022 vom 23. November 2022 E. 4.4 f. m.H.). Sodann ist in grundsätzlicher Hinsicht festzuhalten, dass die Dublin-III-VO den Schutzsuchenden kein Recht einräumt, den ihren Antrag prüfenden Staat selber auszuwählen (vgl. BVGE 2010/45 E. 8.3). Zum Vorbringen der Beschwerdeführenden, sie seien gezwungen worden, Fingerabdrücke abzugeben, ist sodann festzuhalten, dass sämtliche Dublin-Mitgliedstaaten dazu verpflichtet sind,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In seiner bisherigen Rechtsprechung verneinte das Bundesverwaltungsgericht systemische Mängel des kroatischen Asyl- und Aufnahmesystems. Es ging davon aus, dass Dublin-Rückkehrende Zugang zum kroatischen Asyl- und Aufnahmesystem haben. Das gilt unabhängig davon, ob sie im Rahmen eines Aufnahmeverfahrens gemäss Art. 21 ff. Dublin-III-VO (engl.: take charge) oder eines Wiederaufnahmeverfahrens gemäss Art. 23 ff. Dublin-III-VO (engl.: take back) nach Kroatien überstellt werden (vgl. dazu die Referenzurteile des BVGer E-3078/2019 vom 12. Juli 2019 und D-1611/2016 vom 22. März 2016). In seinem jüngsten, zur Publikation als Referenzurteil bestimmten Entscheid E-1488/2020 vom 22. März 2023 untersuchte das Bundesverwaltungsgericht, ob angesichts der andauernden Berichte über unzulässige Push-Backs (direkt an der kroatischen Grenze oder vom Inland aus) und die dabei praktizierte exzessive Gewaltanwendung durch kroatische Behörden an dieser Rechtsprechung festgehalten werden könne. Gestützt auf eine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einerseits und Dublin-Rückkehr andererseits nicht erhärten lasse, wobei diesbezüglich zwischen Aufnahme- und Wiederaufnahmeverfahren kein Unterschied bestehe (ebenda E. 7-9). Es besteht kein Grund, aus Anlass der vorliegenden Streitsache von dieser Beurteilung abzuweichen. Auch die von den Beschwerdeführenden zitierten Berichte und Urteile (vgl. Beschwerde S. 11-13) geben keinen Anlass zur Annahme, Kroatien verstosse systematisch gegen seine vertraglichen Verpflichtungen.</w:t>
      </w:r>
    </w:p>
    <w:p>
      <w:r>
        <w:rPr>
          <w:b/>
        </w:rPr>
        <w:t>E. 7.2</w:t>
      </w:r>
    </w:p>
    <w:p>
      <w:r>
        <w:t>Desgleichen lassen die von den Beschwerdeführenden bei ihrer irregulären Einreise nach Kroatien geltend gemachten Vorkommnisse nicht den Schluss zu, sie hätten bei einer Überstellung nach Kroatien mit hoher Wahrscheinlichkeit eine unmenschliche oder erniedrigende Behandlung im Sinne von Art. 3 EMRK, Art. 3 FoK oder Art. 4 EU-Grundrechtecharta zu gewärtigen. Gegen das Fehlverhalten von einzelnen (Nennung Personen) könnten sie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Die Beschwerdeführenden bringen hierzu vor, sie gehörten als Familie mit minderjährigen Kindern und angesichts ihrer gesundheitlichen Probleme (...) zu den vulnerablen Personen. Sie alle seien von den Erlebnissen in Kroatien traumatisiert. Entgegen der vorinstanzlichen Darstellung hätten sie sich wiederholt und ohne Erfolg um medizinische Betreuung bezüglich der (...) Leiden der Kinder gemeldet, weshalb ihre Rechtsvertretung einen Antrag habe stellen müssen (vgl. dazu (vgl. SEM act. 1206361-48/7).</w:t>
      </w:r>
    </w:p>
    <w:p>
      <w:r>
        <w:rPr>
          <w:b/>
        </w:rPr>
        <w:t>E. 8.3</w:t>
      </w:r>
    </w:p>
    <w:p>
      <w:r>
        <w:t>Das Bundesverwaltungsgericht verkennt im Sinne der von den Beschwerdeführenden in ihren Eingaben geschilderten Erlebnissen nicht, dass der Empfang und die Aufnahmebedingungen für Asylsuchende in Kroatien problematisch sein können. Es gilt indessen die Vermutung, dass Kroatien - als Dublin-Mitgliedstaat - bei der Durchführung des Asyl- und Wegweisungsverfahrens die einschlägigen völkerrechtlichen Verpflichtungen respektiert. Die Beschwerdeführenden bringen nichts vor, was diese Vermutung widerlegen könnte, und auch eine Durchsicht der Akten fördert keinerlei Hinweise auf das Bestehen eines völkerrechtlichen Vollzugshindernisses im Sinne von Art. 3 EMRK zutage, welches zwingend zu einem Selbsteintritt führen müsste. Die Ausführungen der Beschwerdeführenden zu ihrem offenbar nur (Nennung Dauer) dauernden Aufenthalt in Kroatien lassen gerade auch angesichts der expliziten Zusicherung der Wiederaufnahme nicht den Schluss zu, es bestehe ein konkretes und ernsthaftes Risiko, dass sich die Behörden weigern würden, sie wieder aufzunehmen und ihren Antrag auf internationalen Schutz unter Einhaltung der massgeblichen Bestimmungen der Verfahrensrichtlinie zu prüfen. Ferner bestehen auch keine Anhaltspunkte, dass ihnen dort im Rahmen eines Dublin-Wiederaufnahmeverfahrens dauerhaft die ihnen gemäss Aufnahmerichtlinie zustehenden minimalen Lebensbedingungen vorenthalten würden. So ist Kroatien verpflichtet, adäquate Unterkunftsmöglichkeiten und Betreuungsangebote für vulnerable Personen bereitzustellen. Es darf davon ausgegangen werden, dass die Behörden dieser Pflicht nachkommen (vgl. auch Urteil des BVGer D-282/2023 vom 27. Januar 2023 E. 6.3.3). Bei einer allfälligen vorübergehenden Einschränkung wären die Beschwerdeführenden nötigenfalls gehalten, sich an die dortigen Behörden zu wenden und die ihnen zustehenden Aufnahmebedingungen auf dem Rechtsweg einzufordern (vgl. Art. 26 Aufnahmerichtlinie). Dies gilt auch in Bezug auf die geltend gemachte Gewalt seitens der kroatischen Behörden, die sich im Übrigen auf Vorkommnisse bei ihrer illegalen Einreise und nicht auf den Aufenthalt in den dortigen Aufenthaltsstrukturen bezieht. Das Land ist zudem Signatarstaat der KRK und kommt seinen daraus erwachsenden Verpflichtungen grundsätzlich nach. Eine Überstellung der Beschwerdeführenden führt deshalb nicht ohne Weiteres zu einer Verletzung von Art. 3 KRK oder von Art. 3 EMRK (vgl. statt vieler: Urteil des BVGer D-4163/2022 vom 2. Februar 2023 E. 9.4). Die Kinder sind aufgrund ihres sehr jungen Alters beziehungsmässig noch stark auf ihre Eltern fixiert und angesichts der kurzen Aufenthaltsdauer in der Schweiz hier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die Kinder würden von ihren Eltern getrennt. Es kann in Übereinstimmung mit der aktuellen Rechtsprechung davon ausgegangen werden, dass Erstere Zugang zu adäquater Unterbringung und Unterstützung erhalten werden (vgl. Urteil des BVGer E-4341/2022 vom 8. Dezember 2022 E. 7.4.1). Schliesslich ist festzuhalten, dass allfällige psychische Probleme der Beschwerdeführenden - so insbesondere der Kinder - angesichts der Erlebnisse der Familie leider nicht überraschen. Es sind indes keine Hinweise auf unverzüglich behandlungsbedürftige Beeinträchtigungen ersichtlich (vgl. nachstehend E. 8.4).</w:t>
      </w:r>
    </w:p>
    <w:p>
      <w:r>
        <w:rPr>
          <w:b/>
        </w:rPr>
        <w:t>E. 8.4.1</w:t>
      </w:r>
    </w:p>
    <w:p>
      <w:r>
        <w:t>Gemäss den in den Akten liegenden medizinischen Unterlagen (vgl. SEM act. 1206361-29/1, 1206361-44/2, 1206361-45/1, 1206361-50/1, 1206361-51/2, 1206361-55/2, 1206361-57/3 und 1206361-58/3) werden dem Beschwerdeführer (Nennung Leiden), der Beschwerdeführerin 2 (Nennung Leiden) attestiert. Ferner sei die Beschwerdeführerin 3 ebenfalls wegen (Nennung Problem) behandelt worden. Die Beschwerdeführerin 2 sei sodann gemäss (Nennung Beweismittel und Inhalt) (vgl. SEM act. 1206361-58/3 S. 1). Die physischen Probleme sämtlicher Beschwerdeführenden seien nach deren Auftreten jeweils therapiert worden. Dem medizinischen Fachpersonal gegenüber habe der Beschwerdeführer 1 nie psychische Probleme erwähnt. Auch die angeführten psychischen Probleme der Kinder seien gegenüber den zuständigen Pflegestellen nicht gemeldet worden.</w:t>
      </w:r>
    </w:p>
    <w:p>
      <w:r>
        <w:rPr>
          <w:b/>
        </w:rPr>
        <w:t>E. 8.4.2</w:t>
      </w:r>
    </w:p>
    <w:p>
      <w:r>
        <w:t>Die Beschwerdeführenden vermögen nicht nachzuweisen, dass sie nicht reisefähig seien oder die dargestellten Befunde derart gravierende Erkrankungen darstellten, welche eine Unzulässigkeit der Überstellung im Sinne der restriktiven Rechtsprechung von BVGE 2011/9 E. 7 respektive dem Urteil des EGMR Paposhvili gegen Belgien 13. Dezember 2016, Grosse Kammer 41738/10, §§ 180-193 m.w.H. zu rechtfertigen vermöchten. Die gesundheitlichen Beeinträchtigungen können in Kroatien behandelt werden. (...) So verfügt Kroatien über eine ausreichende medizinische Infrastruktur (vgl. statt vieler Urteil des BVGer E-423/2023 vom 31. Januar 2023 E. 7.2.4 m.w.H.). Sodann bestehen nebst den staatlichen Einrichtungen auch Angebote von Nichtregierungsorganisationen für die psychische Betreuung, womit von einem genügenden psychologischen Behandlungsangebot auszugehen ist (vgl. Urteil des BVGer F-4368/2020 vom 14. Januar 2021 E. 7.3 m.H.). Es ist nicht davon auszugehen, dass Kroatien seinen Verpflichtungen im Rahmen der Dublin-III-VO in medizinischer Hinsicht in genereller Weise nicht nachkommen könnte oder nicht wollte. Die Reisefähigkeit ist im Übrigen erst im Zeitpunkt der Überstellung abzuklären, und die kroatischen Behörden werden vorgängig über die spezifischen medizinischen Gegebenheiten informiert (vgl. Art. 31 f. Dublin-III-VO).</w:t>
      </w:r>
    </w:p>
    <w:p>
      <w:r>
        <w:rPr>
          <w:b/>
        </w:rPr>
        <w:t>E. 8.5</w:t>
      </w:r>
    </w:p>
    <w:p>
      <w:r>
        <w:t>Nach dem Ausgeführten konnten die Beschwerdeführenden kein konkretes und ernsthaftes Risiko dartun, dass ihre Überstellung nach Kroatien die Verletzung völkerrechtlicher Bestimmungen zur Folge hätte. Ein zwingender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der Beschwerdeführenden zuständige Mitgliedstaat gemäss Dublin-III-VO.</w:t>
      </w:r>
    </w:p>
    <w:p>
      <w:r>
        <w:rPr>
          <w:b/>
        </w:rPr>
        <w:t>E. 10</w:t>
      </w:r>
    </w:p>
    <w:p>
      <w:r>
        <w:t>Das SEM ist zu Recht in Anwendung von Art. 31a Abs. 1 Bst. b AsylG auf die Asylgesuche der Beschwerdeführenden nicht eingetreten. Da diese nicht im Besitz einer gültigen Aufenthalts- oder Niederlassungsbewilligung sind, wurde die Überstellung nach Kroatien in Anwendung von Art. 44 AsylG ebenfalls zu Recht angeordnet (Art. 32 Bst. a AsylV 1).</w:t>
      </w:r>
    </w:p>
    <w:p>
      <w:r>
        <w:rPr>
          <w:b/>
        </w:rPr>
        <w:t>E. 11</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12</w:t>
      </w:r>
    </w:p>
    <w:p>
      <w:r>
        <w:t>Nach dem Gesagten ist die Beschwerde abzuweisen und die Verfügung des SEM zu bestätigen.</w:t>
      </w:r>
    </w:p>
    <w:p>
      <w:r>
        <w:rPr>
          <w:b/>
        </w:rPr>
        <w:t>E. 13</w:t>
      </w:r>
    </w:p>
    <w:p>
      <w:r>
        <w:t>Mit dem Urteil in der Sache fällt der am 1. Mai 2023 angeordnete Vollzugsstopp dahin. Die Gesuche um Erteilung der aufschiebenden Wirkung und um Erlass des Kostenvorschusses sind gegenstandslos geworden.</w:t>
      </w:r>
    </w:p>
    <w:p>
      <w:r>
        <w:rPr>
          <w:b/>
        </w:rPr>
        <w:t>E. 14.1</w:t>
      </w:r>
    </w:p>
    <w:p>
      <w:r>
        <w:t>Die Begehren erweisen sich als aussichtslos, weshalb das Gesuch um Gewährung der unentgeltlichen Prozessführung ungeachtet einer allfälligen prozessualen Bedürftigkeit abzuweisen ist (Art. 65 Abs. 1 VwVG).</w:t>
      </w:r>
    </w:p>
    <w:p>
      <w:r>
        <w:rPr>
          <w:b/>
        </w:rPr>
        <w:t>E. 14.2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