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F-2387/2015 vom 5. April 2017</w:t>
      </w:r>
    </w:p>
    <w:p>
      <w:r>
        <w:t>Bundesverwaltungsgericht, 2017-04-05, IT</w:t>
      </w:r>
    </w:p>
    <w:p>
      <w:r>
        <w:rPr>
          <w:b/>
        </w:rPr>
        <w:t xml:space="preserve">Quelle: </w:t>
      </w:r>
      <w:r>
        <w:t>https://mcp.opencaselaw.ch/entscheid/bvger_F-2387_2015</w:t>
      </w:r>
    </w:p>
    <w:p>
      <w:r>
        <w:t>FR: TAF F-2387/2015 du 5 avril 2017</w:t>
      </w:r>
    </w:p>
    <w:p>
      <w:r>
        <w:t>IT: TAF F-2387/2015 del 5 aprile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 come nella fattispecie -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con validità territoriale limitata (art. 25 par. 1 lett. a [ii] del regolamento [CE] n° 810/2009 del Parlamento europeo e del Consiglio del 13 luglio 2009 che istituisce un codice comunitario dei visti [Codice dei visti, GU L 23 del 15 settembre 2009, pagg. 1 a 58]).</w:t>
      </w:r>
    </w:p>
    <w:p>
      <w:r>
        <w:rPr>
          <w:b/>
        </w:rPr>
        <w:t>E. 3.3</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3.5</w:t>
      </w:r>
    </w:p>
    <w:p>
      <w:r>
        <w:t>In virtù del messaggio LStr precitato (FF 2002 3327, pag. 3428) l'emanazione di un divieto d'entrata non deve essere interpretato quale sanzione dal carattere penale, bensì quale misura di protezione di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w:t>
      </w:r>
    </w:p>
    <w:p>
      <w:r>
        <w:rPr>
          <w:b/>
        </w:rPr>
        <w:t>E. 5.1</w:t>
      </w:r>
    </w:p>
    <w:p>
      <w:r>
        <w:t>Nella fattispecie in disanima, la SEM ha pronunciato nei confronti di A._______ una decisione di divieto d'entrata in Svizzera e nel Liechtenstein della durata di 15 anni, ossia fino al 30 marzo 2030. L'autorità inferiore ha considerato che con il suo comportamento l'interessato ha gravemente violato e messo in pericolo l'ordine e la sicurezza pubblici, vista la condanna pronunciata il 15 gennaio 2013 dalla Corte delle assise criminali ad una pena detentiva di due anni per infrazione aggravata e contravvenzione alla LStup, nonché guida senza autorizzazione.</w:t>
      </w:r>
    </w:p>
    <w:p>
      <w:r>
        <w:rPr>
          <w:b/>
        </w:rPr>
        <w:t>E. 5.2</w:t>
      </w:r>
    </w:p>
    <w:p>
      <w:r>
        <w:t>I fatti che hanno portato alla condanna in Svizzera vertevano su un importante quantitativo di stupefacenti. A._______ ha infatti alienato, esportato e detenuto complessivi 456 grammi di cocaina. Dagli atti di causa emerge che il suo agire delittuoso ha preso effettivamente inizio poco dopo il suo arrivo in Svizzera ed è stato interrotto dall'intervento delle autorità giudiziarie. Il ricorrente per mesi ha rifornito di cocaina i tossicodipendenti locali e si è prodigato nel trasporto di 130 grammi della medesima sostanza verso la Francia.</w:t>
      </w:r>
    </w:p>
    <w:p>
      <w:r>
        <w:rPr>
          <w:b/>
        </w:rPr>
        <w:t>E. 5.3</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6.1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6.2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pagg. 98 a 107;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6.3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271; Andrea Binder Oser, in Caroni/Gächter/Thurnherr, Bundesgesetz über die Ausländerinnen und Ausländer [AuG], 2010, ad art. 67 LStr, n. marg. 24, pag. 689).</w:t>
      </w:r>
    </w:p>
    <w:p>
      <w:r>
        <w:rPr>
          <w:b/>
        </w:rPr>
        <w:t>E. 7.1</w:t>
      </w:r>
    </w:p>
    <w:p>
      <w:r>
        <w:t>Dato che l'autorità inferiore ha pronunciato un divieto d'entrata di durata superiore a cinque anni, va qui di seguito esaminato, prima di procedere ad una ponderazione degli interessi in gioco, se è soddisfatto il criterio della minaccia grave giusta l'art. 67 cpv. 3 2a frase LStr.</w:t>
      </w:r>
    </w:p>
    <w:p>
      <w:r>
        <w:rPr>
          <w:b/>
        </w:rPr>
        <w:t>E. 7.2</w:t>
      </w:r>
    </w:p>
    <w:p>
      <w:r>
        <w:t>Come si è visto i comportamenti penalmente reprensibili ascritti ad A._______ riguardavano i reati di infrazione aggravata e contravvenzione alla LStup, oltre che di guida senza autorizzazione. In particolare per quanto concerne l'imputazione di infrazione aggravata alla LStup il ricorrente ha agito sull'arco di un lungo periodo di tempo, ovvero dall'autunno/inverno 2012 fino all'arresto avvenuto il 22 giugno 2012, fungendo da spacciatore e da trasportatore di cocaina. Le autorità penali hanno accertato un traffico pari a 456 grammi di tale sostanza.</w:t>
      </w:r>
    </w:p>
    <w:p>
      <w:r>
        <w:rPr>
          <w:b/>
        </w:rPr>
        <w:t>E. 7.3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della sicurezza e dell'ordine pubblici (cfr. sentenza del TF 2C_139/2013 dell'11 giugno 2013 consid. 6.2.3 e riferimenti ivi citati). Inoltre il Tribunale considera che l'ingente quantitativo di cocaina oggetto della condanna del 15 gennaio 2013 non può che indurre a pensare che egli non sia un attore secondario nell'ambito del traffico di droga. Detta conclusione è rafforzata dal fatto che successivamente rispetto alla pronuncia della decisione impugnata A._______ è stato nuovamente condannato per infrazione aggravata alla LStup, oltre che falsità in certificati ed entrata e soggiorno illegali. In particolare l'imputazione legata al traffico di droga verteva su un quantitativo totale di 1'415 grammi di cocaina.</w:t>
      </w:r>
    </w:p>
    <w:p>
      <w:r>
        <w:rPr>
          <w:b/>
        </w:rPr>
        <w:t>E. 7.4</w:t>
      </w:r>
    </w:p>
    <w:p>
      <w:r>
        <w:t>Alla luce di questi elementi, il Tribunale considera che la condotta dell'interessato costituisce un grave pericolo per l'ordine e la sicurezza pubblici, ragione per cui è giustificata l'emanazione di un divieto d'entrata conformemente all'art. 67 cpv. 2 lett. a LStr per una durata superiore a cinque anni giusta l'art. 67 cpv. 3 2a frase LStr.</w:t>
      </w:r>
    </w:p>
    <w:p>
      <w:r>
        <w:rPr>
          <w:b/>
        </w:rPr>
        <w:t>E. 8.1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principalmente all'art. 8 CEDU, il quale garantisce il diritto al rispetto della vita privata e familiare, sottolineando che la decisione dell'autorità inferiore comporterebbe l'impossibilità di intrattenere i rapporti con la compagna, il fratello e la madre adottiva, tutti residenti in Italia.</w:t>
      </w:r>
    </w:p>
    <w:p>
      <w:r>
        <w:rPr>
          <w:b/>
        </w:rPr>
        <w:t>E. 8.5</w:t>
      </w:r>
    </w:p>
    <w:p>
      <w:r>
        <w:t>Come detto, l'art. 8 CEDU tutela la vita privata e familiare delle persone. Questa disposizione non garantisce tuttavia il diritto di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8.6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8.8</w:t>
      </w:r>
    </w:p>
    <w:p>
      <w:r>
        <w:t>In casu, come poc'anzi ricordato, l'interessato si è richiamato al rapporto intrattenuto con la compagna, cittadina italiana residente in provincia di G._______, oltre alla presenza nella vicina Penisola del fratello e della madre adottiva. Il Tribunale costata che la relazione con la compagna - fatta eccezione nel caso di circostanze particolari, che nella presente fattispecie non sono date - non può beneficiare della protezione del diritto al rispetto della vita privata e familiare ai sensi dell'art. 8 CEDU (cfr. sentenza del TF 2C_840/2010 del 2 novembre 2010 consid. 3), che mira a garantire in particolare i rapporti tra i coniugi, nonché quelli tra genitori e figli minorenni che vivono in comunione. Nel corso dell'istruttoria l'interessato ha dichiarato di avere l'intenzione di unirsi in matrimonio con la convivente, tuttavia non risulta che ciò sia avvenuto. Venendo a mancare il vincolo coniugale A._______ non può prevalersi della citata norma convenzionale a tutela del legame con la compagna. Quanto testé considerato vale anche per ciò che concerne i rapporti con il fratello e la madre adottiva residenti in provincia di H._______.</w:t>
      </w:r>
    </w:p>
    <w:p>
      <w:r>
        <w:rPr>
          <w:b/>
        </w:rPr>
        <w:t>E. 8.9</w:t>
      </w:r>
    </w:p>
    <w:p>
      <w:r>
        <w:t>Da quanto precede discende che la decisione impugnata non viola l'art. 8 CEDU ed il ricorrente non può fondare alcun diritto sulla base di tale disposizione.</w:t>
      </w:r>
    </w:p>
    <w:p>
      <w:r>
        <w:rPr>
          <w:b/>
        </w:rPr>
        <w:t>E. 8.10</w:t>
      </w:r>
    </w:p>
    <w:p>
      <w:r>
        <w:t>A._______ si è infine richiamato al comportamento corretto tenuto successivamente alla condanna penale pronunciata il 15 gennaio 2013.</w:t>
      </w:r>
    </w:p>
    <w:p>
      <w:r>
        <w:rPr>
          <w:b/>
        </w:rPr>
        <w:t>E. 8.11</w:t>
      </w:r>
    </w:p>
    <w:p>
      <w:r>
        <w:t>Al proposito il Tribunale non può esimersi dal rammentare che una condotta rispettosa dell'ordinamento giuridico non rappresenta nulla di eccezionale, ma al contrario corrisponde a quanto è lecito attendersi da qualsiasi cittadino. L'asserito comportamento corretto da parte del ricorrente risulta invero clamorosamente contraddetto dalla realtà dei fatti, dato che nel maggio 2016 A._______ è stato arrestato nell'ambito di un'inchiesta condotta dal Ministero pubblico del Canton Ticino per violazione della LStup, la quale ha portato alla condanna ad una pena detentiva di 36 mesi pronunciata dalla Corte delle assise criminali di Lugano il 26 ottobre 2016 per infrazione aggravata alla LStup (traffico di 1'415 grammi di cocaina), falsità in certificati (utilizzo di un permesso di soggiorno e di una licenza di condurre falsi) ed entrata e soggiorno illegali (commesse nel periodo compreso tra l'aprile 2015 ed il maggio 2016). Questa circostanza denota non solo le difficoltà che l'interessato incontra nell'ossequiare l'ordinamento giuridico, ma altresì il non rispetto della decisione di divieto d'entrata medesima. A ciò va aggiunto il sospetto emerso dagli atti che successivamente al non rinnovo del suo permesso di dimora da parte delle competenti autorità cantonali l'insorgente abbia esercitato un'attività lucrativa senza autorizzazione.</w:t>
      </w:r>
    </w:p>
    <w:p>
      <w:r>
        <w:rPr>
          <w:b/>
        </w:rPr>
        <w:t>E. 8.12</w:t>
      </w:r>
    </w:p>
    <w:p>
      <w:r>
        <w:t>Tenuto conto dell'insieme delle circostanze del caso di specie, ed in particolare della gravità dei delitti commessi da A._______, come pure del fatto che egli non si è astenuto dal delinquere successivamente ai fatti che hanno condotto alla condanna pronunciata il 15 gennaio 2013, ma al contrario ha dimostrato un comportamento altamente recidivo, il Tribunale considera che il ricorrente rappresenti ad oggi un pericolo grave ed attuale per l'ordine e la sicurezza pubblici. Ne deriva che l'interesse pubblico al suo allontanamento dalla Svizzera e del Liechtenstein prevale su quello privato ad entrarvi. Di conseguenza, da una corretta valutazione degli interessi pubblici e privati in gioco, emerge che il divieto d'entrata di 15 anni è adeguato alle circostanze del caso concreto.</w:t>
      </w:r>
    </w:p>
    <w:p>
      <w:r>
        <w:rPr>
          <w:b/>
        </w:rPr>
        <w:t>E. 9</w:t>
      </w:r>
    </w:p>
    <w:p>
      <w:r>
        <w:t>A._______ ha altresì dichiarato che l'iscrizione del divieto d'entrata nel SIS gli impedirebbe di poter continuare a vivere con la compagna in Italia, nonché di vedere il fratello e la madre adottiva, anch'essi ivi residenti. Detta censura non permette al Tribunale di giungere ad altra conclusione che l'interesse pubblico all'allontanamento dell'interessato dal territorio della Confederazione e dall'aera Schengen prevalga su quello privato a potervi entrare, fermo restando che, come precedentemente rilevato al consid. 3.2, il ricorrente ha la facoltà di chiedere alla competenti autorità italiane il rilascio di un titolo di soggiorno in Italia indipendentemente dall'iscrizione nel SIS del suo divieto d'entrata.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con validità territoriale limitata (cfr. consid. 3.2 supra).</w:t>
      </w:r>
    </w:p>
    <w:p>
      <w:r>
        <w:rPr>
          <w:b/>
        </w:rPr>
        <w:t>E. 10</w:t>
      </w:r>
    </w:p>
    <w:p>
      <w:r>
        <w:t>Ne discende che la SEM con la decisione del 31 marzo 2015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Le spese giudiziarie di fr. 1'200.-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