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F-2384/2016 vom 7. März 2017</w:t>
      </w:r>
    </w:p>
    <w:p>
      <w:r>
        <w:t>Bundesverwaltungsgericht, 2017-03-07, DE</w:t>
      </w:r>
    </w:p>
    <w:p>
      <w:r>
        <w:rPr>
          <w:b/>
        </w:rPr>
        <w:t xml:space="preserve">Quelle: </w:t>
      </w:r>
      <w:r>
        <w:t>https://mcp.opencaselaw.ch/entscheid/bvger_F-2384_2016</w:t>
      </w:r>
    </w:p>
    <w:p>
      <w:r>
        <w:t>FR: TAF F-2384/2016 du 7 mars 2017</w:t>
      </w:r>
    </w:p>
    <w:p>
      <w:r>
        <w:t>IT: TAF F-2384/2016 del 7 marzo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rügt in formeller Hinsicht eine unrichtige Sachverhaltsdarstellung durch das SEM. So sei nicht zutreffend, dass ihr Gast im Heimatland keiner Erwerbstätigkeit nachgehe. Auch habe er nie durch Umgehung ausländerrechtlicher Vorschriften einen dauerhaften Aufenthalt in der Schweiz angestrebt. Des Weiteren macht die Beschwerdeführerin eine Verletzung ihres Anspruchs auf rechtliches Gehör geltend, sei sie doch vor Erlass der angefochtenen Verfügung nicht angehört worden.</w:t>
      </w:r>
    </w:p>
    <w:p>
      <w:r>
        <w:rPr>
          <w:b/>
        </w:rPr>
        <w:t>E. 3.2</w:t>
      </w:r>
    </w:p>
    <w:p>
      <w:r>
        <w:t>Der Anspruch auf rechtliches Gehör (Art. 29 Abs. 2 BV; Art. 29 ff. VwVG)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Bei Verfahren, welche auf Antrag der Partei eingeleitet werden, ist die Untersuchungsmaxime durch die Mitwirkungspflicht nach Art. 13 VwVG eingeschränkt. Die gesuchstellende Partei ist diesfalls lediglich in Fällen anzuhören, bei denen der Antrag aus Gründen abgewiesen werden soll, die ihr nicht bekannt sind (Patrick Sutter, VwVG Kommentar, 2008, Rz. 7 zu Art. 30). Die Begründungspflicht (Art. 35 VwVG) dient schlussendlich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136 I 229 E. 5.2; BVGE 2012/24 E. 3.2; LORENZ KNEUBÜHLER, Die Begründungspflicht, Bern 1998, S. 22 ff.).</w:t>
      </w:r>
    </w:p>
    <w:p>
      <w:r>
        <w:rPr>
          <w:b/>
        </w:rPr>
        <w:t>E. 3.3</w:t>
      </w:r>
    </w:p>
    <w:p>
      <w:r>
        <w:t>Aufgrund der damals vorliegenden Unterlagen war die Vorinstanz denn auch in der Lage, eine Prüfung der Gesamtsituation vorzunehmen und einen Entscheid zu fällen. So konnten den Akten Angaben über das familiäre, berufliche und gesellschaftliche Umfeld des Beschwerdeführers entnommen werden. Nicht verpflichtet war die Vorinstanz hingegen, der Beschwerdeführerin das Ergebnis ihrer Beweiswürdigung und rechtlichen Beurteilung vorgängig mitzuteilen, damit sich diese dazu äussern und ergänzende Belege einreichen konnte. Von einer Verletzung des Anhörungsrechts ist somit in casu nicht auszugehen (vgl. dazu auch Urteil des BVGer C-6239/2015 vom 4. März 2016 E. 4.3 m.H.). Die angefochtene Verfügung geht zudem auf die individuellen Verhältnisse der eingeladenen Person ein und erlaubte es der Beschwerdeführerin, den zentralen Grund für die Verweigerung zu erkennen (nicht gesicherte Wiederausreise infolge fehlender starker Bindungen des Gesuchstellers an den Heimatstaat). Es war ihr zudem möglich, dagegen sachgerechte Einwände vorzubringen.</w:t>
      </w:r>
    </w:p>
    <w:p>
      <w:r>
        <w:rPr>
          <w:b/>
        </w:rPr>
        <w:t>E. 3.4</w:t>
      </w:r>
    </w:p>
    <w:p>
      <w:r>
        <w:t>Ob die in der vorinstanzlichen Verfügung genannten Gründe zutreffen und ob der rechtserhebliche Sachverhalt hinreichend sorgfältig abgeklärt wurde, ist überdies eine Frage der sachverhaltlichen und rechtlichen Überprüfung (vgl. Urteil des BGer 2C_270/2015 vom 6. August 2015 E. 3.2).</w:t>
      </w:r>
    </w:p>
    <w:p>
      <w:r>
        <w:rPr>
          <w:b/>
        </w:rPr>
        <w:t>E. 4</w:t>
      </w:r>
    </w:p>
    <w:p>
      <w:r>
        <w:t>Der angefochtenen Verfügung liegt das Gesuch eines kosovarischen Staatsangehörigen um Erteilung eines Visums für einen 90-tägigen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5.2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Aufgrund seiner Staatszugehörigkeit unterliegt der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Im Kosovo erweist sich die wirtschaftliche Lage auch Jahre nach Anerkennung der Unabhängigkeit als schwierig. Die Arbeitslosigkeit im Jahr 2015 lag offiziell bei über 35% (bei Jugendlichen sogar noch deutlich höher), wobei diese Angaben aufgrund des in der Statistik schlecht erfassten informellen Sektors zu relativieren ist. Das Pro-Kopf-Einkommen lag 2015 nach Angaben der Weltbank bei 4'000 USD, womit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Stand: Juli 2016, abgerufen im Februar 2017).</w:t>
      </w:r>
    </w:p>
    <w:p>
      <w:r>
        <w:rPr>
          <w:b/>
        </w:rPr>
        <w:t>E. 6.4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6.5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7.1</w:t>
      </w:r>
    </w:p>
    <w:p>
      <w:r>
        <w:t>Beim Gesuchsteller handelt es sich um einen 45-jährigen, verwitweten und kinderlosen Mann. Hinsichtlich seiner persönlichen Lebensumstände im Kosovo ist nur wenig bekannt. Gemäss einer im erstinstanzlichen Verfahren edierten Wohnsitzbestätigung (SEM act. 3 S. 108) soll er in Kamenicë, einer Kleinstadt im Osten Kosovos, in Hausgemeinschaft mit seinem ältesten Bruder und dessen Familie leben. Irgendwelche Indizien für das Bestehen eines besonderen Betreuungsbedarfs, der nur durch den Gesuchsteller selbst abgedeckt werden könnte, sind aus den Akten nicht ersichtlich und werden auch nicht geltend gemacht. Es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Entsprechend grosse Bedeutung kommt deshalb den wirtschaftlichen Verhältnissen zu, in denen sich der Gesuchsteller befindet. Bezüglich seiner derzeitigen beruflichen Tätigkeit gab der Eingeladene an, er sei Rentner (vgl. Ziff. 19 des Einreisegesuches). Entsprechend hielt die Schweizerische Botschaft in ihrer Stellungnahme vom 10. Februar 2016 gegenüber der Vorinstanz fest, als Kriegsveteran beziehe der Gesuchsteller eine Rente, gehe aber keiner Erwerbstätigkeit nach. Ungeachtet dessen brachte die Beschwerdeführerin gegenüber der kantonalen Migrationsbehörde vor, ihr Freund sei teilweise auch als Landarbeiter tätig, ohne jedoch entsprechende Arbeitsbestätigungen oder allfällige Einkommensbelege vorzuweisen, welche die von ihr geltend gemachten beruflichen Bindungen des Gesuchstellers im Kosovo hätten nachweisen können. Doch selbst, wenn dieser eine Arbeitsstelle ohne Versicherungsnachweise innehätte, kann angesichts des vorgesehenen dreimonatigen Auslandaufenthaltes nicht davon ausgegangen werden, der Eingeladene verfüge tatsächlich über eine massgebliche berufliche Verankerung bzw. eine gesicherte wirtschaftliche Existenz in seinem Heimatland, welche die Gefahr eines Verbleibens in der Schweiz respektive im Schengen-Raum über den deklarierten Zeitraum hinaus als unwahrscheinlich erscheinen liesse.</w:t>
      </w:r>
    </w:p>
    <w:p>
      <w:r>
        <w:rPr>
          <w:b/>
        </w:rPr>
        <w:t>E. 7.3</w:t>
      </w:r>
    </w:p>
    <w:p>
      <w:r>
        <w:t>Demgegenüber ist dem Umstand Rechnung zu tragen, dass bereits die Mutter sowie zwei Brüder des Gesuchstellers ihr Heimatland definitiv verlassen haben und in die Schweiz übersiedelt sind, woraus auf einen konkreten Migrationswillen im nächsten Umfeld des Eingeladenen geschlossen werden kann. Auch der Gesuchsteller selber hatte im Jahre 2003 gestützt auf die Heirat mit einer erheblich älteren Schweizerbürgerin eine Aufenthaltsbewilligung in der Schweiz erhalten, welche allerdings nach dem Tod der Ehegattin nicht mehr verlängert wurde. In ihrem negativen Entscheid vom 28. April 2005 ging das Migrationsamt des Kantons Aargau davon aus, der Gesuchsteller sei zwecks Umgehung der ausländerrechtlichen Vorschriften nachgewiesenermassen eine Scheinehe mit einer Schweizerin eingegangen. Dieser Entscheid erwuchs mit Urteil des Rekursgerichts im Ausländerrecht des Kantons Aargau vom 3. März 2006 in Rechtskraft. Vor diesem Hintergrund müssen die Beteuerungen auf Beschwerdeebene, wonach genügend Garantien für eine fristgerechte Wiederausreise vorhanden seien, als nicht ausschlaggebend bezeichnet werden.</w:t>
      </w:r>
    </w:p>
    <w:p>
      <w:r>
        <w:rPr>
          <w:b/>
        </w:rPr>
        <w:t>E. 7.4</w:t>
      </w:r>
    </w:p>
    <w:p>
      <w:r>
        <w:t>Zu berücksichtigen gilt es im Weitern, dass die Vorinstanz bereits in der Vergangenheit ein Begehren des Gesuchstellers um Erteilung eines mehrmonatigen Einreisevisums zwecks Besuchs eines Bruders in der Schweiz mit der Begründung abgewiesen hat, die fristgerechte und anstandslose Rückkehr ins Heimatland könne keineswegs als einwandfrei gesichert betrachtet werden (vgl. Verfügung vom 4. Januar 2010). An dieser Einschätzung ist auch heute festzuhalten, ergeben sich doch aus den Akten keine Hinweise, wonach in den persönlichen Verhältnissen des Eingeladenen seither wesentliche Veränderungen eingetreten wären.</w:t>
      </w:r>
    </w:p>
    <w:p>
      <w:r>
        <w:rPr>
          <w:b/>
        </w:rPr>
        <w:t>E. 7.5</w:t>
      </w:r>
    </w:p>
    <w:p>
      <w:r>
        <w:t>Vor dem dargelegten allgemeinen und persönlichen Hintergrund durfte die Vorinstanz demnach willkürfrei davon ausgehen, die Wiederausreise des Eingeladenen sei im Sinne der massgeblichen Bestimmungen nicht gesichert. An der Richtigkeit dieser Einschätzung ändert auch die Tatsache nichts, dass die Beschwerdeführerin, die gemäss den eingereichten Unterlagen fraglos über einen guten Leumund verfügt, die in Art. 7 Abs. 1 VEV geregelte Verpflichtungserklärung abgegeben und damit ihr Vertrauen in ein rechtskonformes Verhalten ihres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Der (durchaus verständliche) Wunsch der Beschwerdeführerin, ihrem Freund ihr Lebensumfeld in der Schweiz zeigen zu können, hat demnach in den Hintergrund zu treten. Als Niedergelassener steht ihr weiterhin die Möglichkeit offen, den Gesuchsteller - wie bis anhin - im Heimatland zu besuchen.</w:t>
      </w:r>
    </w:p>
    <w:p>
      <w:r>
        <w:rPr>
          <w:b/>
        </w:rPr>
        <w:t>E. 7.6</w:t>
      </w:r>
    </w:p>
    <w:p>
      <w:r>
        <w:t>Mit der fehlenden Gewähr für eine anstandslose Wiederausreise ist eine zwingende Voraussetzung zur Erteilung eines Schengen-Visums nicht erfüllt. Gründe für die Ausstellung eines Visums mit räumlich beschränkter Gültigkeit (vgl. dazu E. 5.5) wurden von den Beteiligten zu Recht nicht geltend gemacht und solche sind auch nicht ersichtlich.</w:t>
      </w:r>
    </w:p>
    <w:p>
      <w:r>
        <w:rPr>
          <w:b/>
        </w:rPr>
        <w:t>E. 8</w:t>
      </w:r>
    </w:p>
    <w:p>
      <w:r>
        <w:t>Aus vorstehenden Erwägungen folgt, dass die angefochtene Verfügung Bundesrecht nicht verletzt. Der rechtserhebliche Sachverhalt wurde richtig und vollständig festgestellt, und die Vorinstanz hat das ihr zustehende Ermessen pflichtgemäss und zutreffend gehandhabt (Art. 49 VwVG), weshalb es sich erübrigt, die Angelegenheit im Sinne des Eventualantrags dem SEM zur Neubeurteilung zurückzuweisen. Die Beschwerde ist demzufolge vollumfänglich abzuweisen.</w:t>
      </w:r>
    </w:p>
    <w:p>
      <w:r>
        <w:rPr>
          <w:b/>
        </w:rPr>
        <w:t>E. 9</w:t>
      </w:r>
    </w:p>
    <w:p>
      <w:r>
        <w:t>Entsprechend dem Ausgang des Verfahrens wird die unterliegende Beschwerdeführerin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