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F-2380/2016 vom 5. Oktober 2016</w:t>
      </w:r>
    </w:p>
    <w:p>
      <w:r>
        <w:t>Bundesverwaltungsgericht, 2016-10-05, DE</w:t>
      </w:r>
    </w:p>
    <w:p>
      <w:r>
        <w:rPr>
          <w:b/>
        </w:rPr>
        <w:t xml:space="preserve">Quelle: </w:t>
      </w:r>
      <w:r>
        <w:t>https://mcp.opencaselaw.ch/entscheid/bvger_F-2380_2016</w:t>
      </w:r>
    </w:p>
    <w:p>
      <w:r>
        <w:t>FR: TAF F-2380/2016 du 5 octobre 2016</w:t>
      </w:r>
    </w:p>
    <w:p>
      <w:r>
        <w:t>IT: TAF F-2380/2016 del 5 ottobre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und Einsprecher zur Beschwerde legitimiert (Art. 48 Abs. 1 VwVG). Auf die frist- und formgerecht eingereichte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In formeller Hinsicht macht der Beschwerdeführer eine Verletzung des rechtlichen Gehörs, namentlich der Begründungspflicht, gemäss Art. 29 Abs. 2 BV geltend.</w:t>
      </w:r>
    </w:p>
    <w:p>
      <w:r>
        <w:rPr>
          <w:b/>
        </w:rPr>
        <w:t>E. 3.2</w:t>
      </w:r>
    </w:p>
    <w:p>
      <w:r>
        <w:t>Der Anspruch auf rechtliches Gehör (Art. 29 Abs. 2 BV; Art. 29 ff. VwVG) dient der Sachaufklärung und stellt gleichzeitig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und Art. 32 Abs. 1 VwVG). Die Begründungspflicht (Art. 35 VwVG) dient schlussendlich der rationalen und transparenten Entscheidfindung und soll dem Adressaten erlauben, einen Entscheid entweder zu akzeptieren oder sachgerecht anzufechten. Die Behörde hat dabei die wesentlichen Überlegungen zu nennen, von denen sie sich leiten liess (vgl. statt vieler BVGE 2012/24 E. 3.2). Dabei ist die Verwendung von Textbausteinen im Visumsverfahren zulässig, sofern die Vorinstanz den konkreten Fall anschliessend hinreichend würdigt (vgl. zur Verwendung von Textbausteinen Urteil des BVGer C 4868/2015 vom 19. November 2015 E. 5.5 m.w.H.).</w:t>
      </w:r>
    </w:p>
    <w:p>
      <w:r>
        <w:rPr>
          <w:b/>
        </w:rPr>
        <w:t>E. 3.3</w:t>
      </w:r>
    </w:p>
    <w:p>
      <w:r>
        <w:t>In ihrer Verfügung vom 15. März 2016 machte die Vorinstanz bezüglich der allgemeinen Einschätzung des Risikos einer nicht fristgerechten Wiederausreise der Gesuchstellerin zunächst generelle Ausführungen und verwendete entsprechende Textbausteine. Im Anschluss würdigte sie in ihrer Verfügung den konkreten Einzelfall. Insbesondere ging die Vorinstanz - gestützt auf die damals ihr vorliegenden Akten - auf die konkreten Verhältnisse, namentlich auf die persönlichen, familiären und beruflichen Umstände der Gesuchstellerin ein. Im Weiteren sind die wesentlichen Überlegungen, welche zur Ablehnung der Einsprache führten, ersichtlich. Dem Beschwerdeführer war es folglich gestützt auf die Ausführungen der Vorinstanz möglich, den zentralen Grund für die Abweisung zu erkennen und dagegen sachgerechte Einwände - insbesondere die von der Vorinstanz beanstandeten fehlenden Beweismittel, wie etwa eine Arbeitsbestätigung - im Beschwerdeverfahren vorzubringen (vgl. Urteil des BVGer C-6239/2015 vom 4. März 2016 E. 4.3 am Ende).</w:t>
      </w:r>
    </w:p>
    <w:p>
      <w:r>
        <w:rPr>
          <w:b/>
        </w:rPr>
        <w:t>E. 3.4</w:t>
      </w:r>
    </w:p>
    <w:p>
      <w:r>
        <w:t>Zusammenfassend kann der Vorinstanz keine Verletzung des rechtlichen Gehörs, namentlich der Begründungspflicht nach Art. 29 Abs. 2 BV, vorgehalten werden. Im Nachfolgenden ist entsprechend die vom Beschwerdeführer beantragte Erteilung eines Schengen-Visums mit Blick auf das materielle Recht zu prüfen.</w:t>
      </w:r>
    </w:p>
    <w:p>
      <w:r>
        <w:rPr>
          <w:b/>
        </w:rPr>
        <w:t>E. 4</w:t>
      </w:r>
    </w:p>
    <w:p>
      <w:r>
        <w:t>Die angefochtene Verfügung hat das Visumgesuch einer laotischen Staatsangehörigen für einen 90-tägigen Besuchsaufenthalt in der Schweiz zum Gegenstand.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5</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(vgl. Art. 2 der Verordnung vom 22.Oktober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(vgl. eingehend zur Auslegung von Art. 12 Abs. 1 i.V.m. Art. 2 VEV und Art. 6 SGK: BVGE 2014/1 E. 4.1.4 und 4.1.5). Anspruch auf Einreise bzw. Erteilung eines Visums vermittelt auch das Schengen-Recht nicht (vgl. BVGE 2014/1 E. 4.1.5 m.H.).</w:t>
      </w:r>
    </w:p>
    <w:p>
      <w:r>
        <w:rPr>
          <w:b/>
        </w:rPr>
        <w:t>E. 6.1</w:t>
      </w:r>
    </w:p>
    <w:p>
      <w:r>
        <w:t>Drittstaatsangehörige dürfen in den Schengen-Raum für einen Aufenthalt von höchstens 90 Tagen innerhalb eines Zeitraums von 180 Tagen ein-reisen, wenn sie im Besitz gültiger Reisedokumente sind, die zum Grenz-übertritt berechtigen.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zum Ganzen: Art. 5 Abs. 1 Bst. a AuG sowie Art. 2, Art. 4 und Art. 17 VEV i.V.m. Art. 6 Abs. 1 und 2 SGK).</w:t>
      </w:r>
    </w:p>
    <w:p>
      <w:r>
        <w:rPr>
          <w:b/>
        </w:rPr>
        <w:t>E. 6.2</w:t>
      </w:r>
    </w:p>
    <w:p>
      <w:r>
        <w:t>Im Weiteren müssen Drittstaatsangehörige den Zweck und die Umstände ihres beabsichtigten Aufenthalts belegen und hierfür über ausreichende finanzielle Mittel verfügen (Art. 5 Abs. 1 Bst. b AuG, Art. 2 Abs. 1 und 2 VEV i.V.m. Art. 6 Abs. 1 Bst. c sowie Abs. 4 SGK und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können (Art. 5 Abs. 2 AuG, Art. 14 Abs. 1 Bst. d und Art. 21 Abs. 1 Visakodex; vgl. dazu Egli/Meyer, in: Caroni/Gächter/Thurnherr [Hrsg.], Stämpflis Handkommentar zum Bundesgesetz über die Ausländerinnen und Ausländer, 2010, Art. 5 N. 33).</w:t>
      </w:r>
    </w:p>
    <w:p>
      <w:r>
        <w:rPr>
          <w:b/>
        </w:rPr>
        <w:t>E. 6.3</w:t>
      </w:r>
    </w:p>
    <w:p>
      <w:r>
        <w:t>Drittstaatsangehörige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 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respektive dass die gesuchstellende Person für die gesicherte Wiederausreise Gewähr bietet (vgl. Art. 14 Abs. 1 Bst. d und Art. 21 Abs. 1 und 3 Visakodex, Art. 5 Abs. 2 AuG; vgl. BVGE 2014/1 E. 4.4 m.w.H.).</w:t>
      </w:r>
    </w:p>
    <w:p>
      <w:r>
        <w:rPr>
          <w:b/>
        </w:rPr>
        <w:t>E. 6.4</w:t>
      </w:r>
    </w:p>
    <w:p>
      <w:r>
        <w:t>Sind die vorerwähnten Einreisevoraussetzungen nicht erfüllt, darf ein für den gesamten Schengen-Raum geltendes "einheitliches Visum" (vgl. Art. 2 Ziff. 3 Visakodex) nicht erteilt werden (vgl. Art. 12 i.V.m. Art. 2 VEV und Art. 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zur Definition "Visum mit räumlich beschränkter Gültigkeit" Art. 2 Ziff. 4 Visakodex).</w:t>
      </w:r>
    </w:p>
    <w:p>
      <w:r>
        <w:rPr>
          <w:b/>
        </w:rPr>
        <w:t>E. 6.5</w:t>
      </w:r>
    </w:p>
    <w:p>
      <w:r>
        <w:t>Gemäss Anhang I EG Nr. 539/2001 gehört Laos zu jenen Drittstaaten, deren Staatsangehörige beim Überschreiten der Aussengrenzen der Schengen-Mitgliedstaaten im Besitze eines Visums sein müssen. Die Gesuchstellerin unterliegt aufgrund ihrer Staatsangehörigkeit folglich der Visumspflicht. Bei der Prüfung der entsprechenden Voraussetzungen nach Art. 6 Abs. 1 SGK zur Erteilung eines Visums steht insbesondere die Frage der gesicherten Wiederausreise im Vordergrund. Eine solche erachtet die Vorinstanz aufgrund der allgemeinen Situation im Herkunftsland (vgl. nachfolgend E. 7) als auch aufgrund der persönlichen Umstände der Gesuchstellerin (vgl. nachfolgend E. 8) als nicht genügend gesichert.</w:t>
      </w:r>
    </w:p>
    <w:p>
      <w:r>
        <w:rPr>
          <w:b/>
        </w:rPr>
        <w:t>E. 7.1</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7.2</w:t>
      </w:r>
    </w:p>
    <w:p>
      <w:r>
        <w:t>Die demokratische Volksrepublik Laos mit ca. 7 Mio. Einwohnern und offiziell 49 Ethnien verfügt über ein Bruttoinlandsprodukt von 12,5 Mrd. USD, was einem BIP von 1.785 USD pro Kopf entspricht (Stand Jahr 2015). Im Jahr 2014 betrug das laotische Wirtschaftswachstum 7,4 Prozent. Obwohl Laos als eines der ärmsten Länder Asiens gilt, zählt es mittlerweile zu den am stärksten wachsenden Volkswirtschaften der Welt, wobei Bergbau, Energie, Leichtindustrie und Tourismus eine zentrale Rolle spielen. Aufgrund der am 1. Januar 2016 in Kraft getretenen ASEAN Economic Community (AEC) wird zudem weiterhin eine positive Wirtschaftsentwicklung erwartet und ein erklärtes Ziel der Regierung ist es, bis 2020 nicht mehr als "Least Developed Country (LDC)" zu gelten. Trotz des starken Wirtschaftswachstums und des grossen Entwicklungspotenzials des Landes sind rund drei Viertel der Bevölkerung nach wie vor in der Landwirtschaft beschäftigt. Die anhaltende Haushaltskrise belastet zudem die wirtschaftliche Entwicklung. Die Menschenrechtslage in Laos gilt insbesondere bezüglich der Versammlungs-, Meinungs- und Pressefreiheit zudem als unbefriedigend (Quellen: Webseite des deutschen Auswärtigen Amtes: www.auswaertiges-amt.de, Aussen- und Europapolitik Länderinformationen Laos Innenpolitik resp. Wirtschaft resp. Kultur- und Bildungspolitik, besucht im September 2016).</w:t>
      </w:r>
    </w:p>
    <w:p>
      <w:r>
        <w:rPr>
          <w:b/>
        </w:rPr>
        <w:t>E. 7.3</w:t>
      </w:r>
    </w:p>
    <w:p>
      <w:r>
        <w:t>Die von der Vorinstanz getroffene Annahme eines allgemein hohen Risikos bezüglich einer nicht fristgerechten Wiederausreise aufgrund der politischen und wirtschaftlichen Lage in Laos ist angesichts des Dargelegten grundsätzlich nicht zu beanstanden.</w:t>
      </w:r>
    </w:p>
    <w:p>
      <w:r>
        <w:rPr>
          <w:b/>
        </w:rPr>
        <w:t>E. 8.1</w:t>
      </w:r>
    </w:p>
    <w:p>
      <w:r>
        <w:t>Bei der Risikoanalyse sind neben allgemeinen Umständen und Erfahrungen sämtliche Gesichtspunkte des konkreten Einzelfalls zu berücksichtigen. Beispielsweise können besondere berufliche, gesellschaftliche oder familiäre Verantwortungen im Heimatland die Prognose für eine anstands-lose Wiederausreise begünstigen. Für die Verweigerung eines Schengen-Visums bedarf es begründeter Zweifel an der Absicht der antragsstellenden Person, das Hoheitsgebiet der Mitgliedstaaten vor Ablauf der Gültigkeitsdauer des beantragten Visums zu verlassen (vgl. Art. 32 Abs. 1 Bst. b Visakodex sowie Urteil des EuGH vom 19. Dezember 2013 C-84/12 Rahmanian Koushkaki, Rz. 73).</w:t>
      </w:r>
    </w:p>
    <w:p>
      <w:r>
        <w:rPr>
          <w:b/>
        </w:rPr>
        <w:t>E. 8.2</w:t>
      </w:r>
    </w:p>
    <w:p>
      <w:r>
        <w:t>Die im Jahr 1975 geborene Gesuchstellerin ist ledig und kinderlos. Sie lebt in einem Dorf in der laotischen Provinz Y._______ nahe der Grenze zur thailändischen Provinz Z._______. Gemäss Beschwerdeschrift bzw. Replik lebt die nähere Verwandtschaft der Gesuchstellerin ausschliesslich in der Heimat respektive im angrenzenden Ausland. Gestützt auf die Akten sind keine besonderen familiären oder gesellschaftlichen Verpflichtungen, die Gewähr für eine anstandslose Wiederausreise bieten, ersichtlich.</w:t>
      </w:r>
    </w:p>
    <w:p>
      <w:r>
        <w:rPr>
          <w:b/>
        </w:rPr>
        <w:t>E. 8.3</w:t>
      </w:r>
    </w:p>
    <w:p>
      <w:r>
        <w:t>Mit der Vorinstanz ist zunächst übereinstimmend festzuhalten, dass bei der - zumindest allgemeinen - Risikobeurteilung dem Lohngefälle zwischen dem Herkunftsstaat der Gesuchstellerin und der Schweiz als auch der sozialen Absicherung in der Schweiz eine wichtige Bedeutung zukommt. Dennoch vermag dieses Vorbringen im vorliegenden Fall nicht zu überzeugen. Vielmehr ist die wirtschaftliche und berufliche Absicherung der Gesuchstellerin im Heimatland als positiv bei der Beurteilung der gesicherten Wiederausreise zu erachten. Die Gesuchstellerin ist Übersetzerin von mehreren ostasiatischen Minderheitensprachen und arbeitete bislang als "Freelancerin". Sie verfügt über eine gute und fundierte Ausbildung in ihrem Heimatland. Im Jahr 2015 verdiente sie aufgrund von Aufträgen der "X._______ Foundation", deren Ziel die Übersetzung religiöser Botschaften in Minderheitssprachen ist (Quelle: [...]), über THB 114'500.- (vgl. BVGer act. 1/Beilage 4). Die flexiblen Arbeitsbedingungen ermöglichen es ihr, trotz einer längerdauernden Abwesenheit nach der Rückkehr in ihrem Heimatland einer gut bezahlten Arbeit nachgehen zu können. Für die berufliche Absicherung spricht auch die replikweise eingereichte Bestätigung, wonach die Gesuchstellerin künftig an weiteren "training events" der "X._______ Foundation" teilnehmen wird (BVGer act. 9/Beilage 1). In finanzieller Hinsicht verfügte die Gesuchstellerin per 25. März 2016 über einen Kontostand von THB 31'101.45 (vgl. BVGer act. 1/Beilage 5). Zudem besitzt sie an ihrem Wohnort in Laos ein Haus und ein Motorrad (vgl. BVGer act. 1/Beilagen 6 u. 7). Nach Angaben der Gesuchstellerin sei das Haus rund THB 700'000.- wert, wobei dieser Betrag - aufgrund der in Laos üblicherweise bar erfolgten Auszahlung an die Ersteller des Hauses - nicht belegt werden könne (vgl. BVGer act. 1/Beschwerdeschrift S. 8). Aus den Akten ergeben sich keine Hinweise, die diese Ausführungen als zweifelhaft erscheinen lassen könnten. Die Gesuchstellerin verfügt somit insgesamt über eine für laotische Verhältnisse - mit einem BIP von 1.785 USD pro Kopf (vgl. E. 7.2) - überdurchschnittlich stabile finanzielle Absicherung. Trotz geplanter 90-tägiger Landesabwesenheit, kann mit Blick auf die überdurchschnittlich gute berufliche Qualifikation und die finanziellen Verhältnisse der Gesuchstellerin in ihrem Heimatland somit insgesamt eine günstige Prognose bezüglich der gesicherten Wiederausreise gestellt werden (vgl. Urteile des BVGer C 5397/2014 vom 25. September 2015 E 6.2 und C-1201/2013 vom 8. April 2014 E. 6.2).</w:t>
      </w:r>
    </w:p>
    <w:p>
      <w:r>
        <w:rPr>
          <w:b/>
        </w:rPr>
        <w:t>E. 8.4</w:t>
      </w:r>
    </w:p>
    <w:p>
      <w:r>
        <w:t>Nebst der wirtschaftlich und beruflich guten Situierung in ihrem Heimatland, erscheint überdies der Beweggrund der Gesuchstellerin für einen befristeten Besuch in der Schweiz nachvollziehbar. Zweck des 90-tägigen Besuchs ist die weitere Beziehungspflege zwischen der Gesuchstellerin und dem Beschwerdeführer. Das Paar hat sich über eine Internetplattform kennengelernt und erstmals vom 24. Dezember 2015 bis 6. Januar 2016 persönlich in Thailand getroffen. Gemäss Angaben des Beschwerdeführers haben sie zudem täglich per Skype und Mail Kontakt (vgl. SEM act. 8/74). Zwischenzeitlich hat der Beschwerdeführer die Gesuchstellerin im Mai 2016 für weitere 9 Tage besucht (vgl. BVGer act. 9/Beilage 2). Gemäss den glaubhaften Äusserungen soll der Besuch in der Schweiz der Prüfung der Beziehung dienen.</w:t>
      </w:r>
    </w:p>
    <w:p>
      <w:r>
        <w:rPr>
          <w:b/>
        </w:rPr>
        <w:t>E. 8.5</w:t>
      </w:r>
    </w:p>
    <w:p>
      <w:r>
        <w:t>Obwohl das Risiko für eine Missachtung ausländerrechtlicher Normen nie gänzlich ausgeschlossen werden kann, so erscheint es aufgrund der Umstände des vorliegenden Einzelfalls als gering. Zusammenfassend sind angesichts der beruflichen und wirtschaftlichen Absicherung der Gesuchstellerin in ihrem Heimatland als auch des Besuchszwecks keine begründeten Zweifel an der fristgerechten Wiederausreise ersichtlich.</w:t>
      </w:r>
    </w:p>
    <w:p>
      <w:r>
        <w:rPr>
          <w:b/>
        </w:rPr>
        <w:t>E. 9</w:t>
      </w:r>
    </w:p>
    <w:p>
      <w:r>
        <w:t>Indem die Vorinstanz den rechtserheblichen Sachverhalt wesentlich anders gewichtete, hat sie Bundesrecht verletzt (vgl. Art. 49 Bst. a VwVG). Die Beschwerde ist demnach gutzuheissen und die Sache zur neuerlichen Beurteilung an die Vorinstanz zurückzuweisen. Dabei bleibt von der Vorinstanz zu prüfen, ob die übrigen Einreisevoraussetzungen (vgl. E. 6) erfüllt sind.</w:t>
      </w:r>
    </w:p>
    <w:p>
      <w:r>
        <w:rPr>
          <w:b/>
        </w:rPr>
        <w:t>E. 10</w:t>
      </w:r>
    </w:p>
    <w:p>
      <w:r>
        <w:t>Entsprechend dem Ausgang des Verfahrens sind weder dem Beschwerdeführer noch der Vorinstanz Kosten aufzuerlegen (Art. 63 Abs. 1 e contrario und 2 VwVG) und der geleistete Kostenvorschuss ist zurückzuerstatten. Der Beschwerdeführer hat gemäss Art. 64 Abs. 1 VwVG Anrecht auf eine Parteientschädigung für die ihm erwachsenen notwendigen Kosten (vgl. auch Art. 7 ff. des Reglements vom 21. Februar 2008 über die Kosten und Entschädigungen vor dem Bundesverwaltungsgericht [VGKE, SR 173.320.2]). Ausgangspunkt für die Höhe der Parteientschädigung bildet die eingereichte Kostennote (vgl. 14 Abs. 2 VGKE). Gemäss der mit Replik vom 20. Juni 2016 eingereichten Honorarnote stellt die Rechtsvertreterin für Honorar und Auslagen eine Entschädigung von insgesamt Fr. 5'092.20 (inkl. MWSt) in Rechnung. Die vorliegende Auseinandersetzung war weder in tatsächlicher noch in rechtlicher Hinsicht sonderlich komplex. Der für die Beschwerdeschrift insgesamt veranschlagte Aufwand von 14 Stunden erscheint deshalb als zu hoch. Auch im Rahmen der Beantwortung der Vernehmlassung der Vorinstanz wurde ein überhöhter Zeitaufwand angeführt. Insgesamt erscheinen 12 anstelle der geltend gemachten 18.50 Stunden angesichts der Schwierigkeit der Streitsache sowie der sich daraus ergebenden rechtlichen und tatsächlichen Abklärungen als angemessen. Bei einem Stundenansatz von Fr. 250.- ist die Parteientschädigung deshalb auf Fr. 3'090.- (inkl. Auslagen) zuzüglich Mehrwertsteuer festzusetzen. (Art. 9 Abs. 1 i.V.m. Art. 10 Abs. 2 VGKE). Diese Entschädigung geht zu Lasten der Vorinstanz (vgl.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