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F-2379/2020 vom 15. April 2021</w:t>
      </w:r>
    </w:p>
    <w:p>
      <w:r>
        <w:t>Bundesverwaltungsgericht, 2021-04-15, DE</w:t>
      </w:r>
    </w:p>
    <w:p>
      <w:r>
        <w:rPr>
          <w:b/>
        </w:rPr>
        <w:t xml:space="preserve">Quelle: </w:t>
      </w:r>
      <w:r>
        <w:t>https://mcp.opencaselaw.ch/entscheid/bvger_F-2379_2020</w:t>
      </w:r>
    </w:p>
    <w:p>
      <w:r>
        <w:t>FR: TAF F-2379/2020 du 15 avril 2021</w:t>
      </w:r>
    </w:p>
    <w:p>
      <w:r>
        <w:t>IT: TAF F-2379/2020 del 15 aprile 2021</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im Übrigen frist- und formgerecht eingereichte Beschwerde ist einzutreten (Art. 50 und Art. 52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3.2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VZAE). Die Annahme einer Gefährdung der öffentlichen Sicherheit und Ordnung setzt konkrete Anhaltspunkte dafür voraus, dass der Aufenthalt des Betroffenen in der Schweiz mit erheblicher Wahrscheinlichkeit zu einem Verstoss gegen die öffentliche Sicherheit und Ordnung führen wird (Art. 77a Abs. 2 VZAE).</w:t>
      </w:r>
    </w:p>
    <w:p>
      <w:r>
        <w:rPr>
          <w:b/>
        </w:rPr>
        <w:t>E. 3.4</w:t>
      </w:r>
    </w:p>
    <w:p>
      <w:r>
        <w:t>Eine schwerwiegende Gefahr für die öffentliche Sicherheit und Ordnung im Sinne von Art. 67 Abs. 3 zweiter Satz AIG setzt mehr voraus als eine einfache Gefährdung nach Art. 67 Abs. 2 Bst. a zweiter Halbsatz AIG. Verlangt wird eine qualifizierte Gefahr, über deren Vorliegen gestützt auf alle Umstände des Einzelfalles zu befinden ist. Eine solche schwerwiegende Gefahr darf nicht leichthin angenommen werden. Nach der Rechtsprechung kann sie sich etwa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dazu BGE 139 II 121 E. 6.3; Urteil des BGer 2C_270/2015 vom 6. August 2015 E. 4.2; BVGE 2013/4 E. 7.2.4; Urteil des BVGer F-5350/2016 vom 6. März 2017 E. 6.2 m.H.).</w:t>
      </w:r>
    </w:p>
    <w:p>
      <w:r>
        <w:rPr>
          <w:b/>
        </w:rPr>
        <w:t>E. 4</w:t>
      </w:r>
    </w:p>
    <w:p>
      <w:r>
        <w:t>Anlass für das gegen den Beschwerdeführer verhängte Einreiseverbot bildeten diverse Straftaten. Nach Auffassung der Vorinstanz lassen sie den Schluss auf eine vom Beschwerdeführer ausgehende schwerwiegende Gefahr für die öffentliche Sicherheit und Ordnung nach Art. 67 Abs. 3 zweiter Satz AIG zu, welche die Anordnung eines über fünf Jahre dauernden Einreiseverbots erlaubt. Der Beschwerdeführer dagegen will gegen sich nur einen Verstoss gegen die öffentliche Sicherheit und Ordnung beziehungsweise deren einfache Gefährdung im Sinne von Art. 67 Abs. 2 Bst. a AIG gelten lassen, weshalb die Massnahmedauer auf höchstens drei Jahre zu beschränken sei.</w:t>
      </w:r>
    </w:p>
    <w:p>
      <w:r>
        <w:rPr>
          <w:b/>
        </w:rPr>
        <w:t>E. 4.1</w:t>
      </w:r>
    </w:p>
    <w:p>
      <w:r>
        <w:t>Der Beschwerdeführer hat im Zeitraum zwischen 2009 und 2014 mehrfach und teilweise schwer delinquiert. Nach zwei Verurteilungen wegen Widerhandlungen gegen das Waffengesetz, die mit Bussen sowie einer bedingten Geldstrafe einhergingen, wurde er mit Urteil des Obergerichts Aargau vom 31. März 2016 wegen insgesamt fünf Straftaten zu einer Freiheitsstrafe von dreieinhalb Jahren und einer bedingten Geldstrafe verurteilt. Dem Urteil liegt das schwerste vom Beschwerdeführer begangene Delikt (versuchte schwere Körperverletzung) mit folgendem Sachverhalt zugrunde: Der Beschwerdeführer und sein jüngerer Bruder suchten am frühen Abend des (...) 2014 die Bar eines Bekannten auf. Dort angekommen ging der Beschwerdeführer geradewegs auf den an einem Tisch sitzenden Barbetreiber los, beleidigte diesen und schlug ihm mit der Faust ins Gesicht. Im Verlaufe der Auseinandersetzung fielen beide zu Boden, woraufhin der jüngere Bruder mit einem mitgeführten Messer zweimal auf das auf dem Beschwerdeführer kniende Opfer einstach. Nachdem die anwesenden Gäste die Beteiligten voneinander getrennt hatten, verliessen die beiden Brüder das Lokal. Nach den Feststellungen des Strafgerichts dürfte die Tat durch die vorangehende Weigerung des Opfers, ein Darlehen über Fr. 300.- zurückzuzahlen, motiviert gewesen sein; angesichts des unmittelbaren Angriffs nach Betreten der Bar müsse es, so das Obergericht, letztlich aber auch um Prinzipien, Ehre und Macht gegangen sein (Urteil des Obergerichts Aargau vom 31. März 2016 [SEM-act. 11/111]).</w:t>
      </w:r>
    </w:p>
    <w:p>
      <w:r>
        <w:rPr>
          <w:b/>
        </w:rPr>
        <w:t>E. 4.2</w:t>
      </w:r>
    </w:p>
    <w:p>
      <w:r>
        <w:t>Das Obergericht Aargau kam in seinem Urteil zum Schluss, dass sich der Beschwerdeführer die Handlungen seines Bruders als Mittäter anrechnen lassen müsse. Verschuldensmindernd wurde ihm zwar zu Gute gehalten, dass er nicht selbst zugestochen und auch kein Messer mit sich geführt hatte. Indes sei seine Rolle als Initiator und Anführer der Auseinandersetzung zentral gewesen. Zusätzlich leicht verschuldensmindernd berücksichtigt wurde, dass der Beschwerdeführer nach dem Vorfall seinen Bruder aufforderte, das Lokal zu verlassen und damit eine weitere Eskalation verhinderte. Das Gesamtverschulden des Beschwerdeführers bei der versuchten schweren Körperverletzung wertete das Obergericht daher zusammenfassend als leicht bis mittelschwer. Unter Berücksichtigung dieser Umstände reduzierten die Strafrichter die Einsatzstrafe von fünfeinhalb Jahren für das vollendete Delikt auf dreieinhalb Jahre.</w:t>
      </w:r>
    </w:p>
    <w:p>
      <w:r>
        <w:rPr>
          <w:b/>
        </w:rPr>
        <w:t>E. 4.3</w:t>
      </w:r>
    </w:p>
    <w:p>
      <w:r>
        <w:t>In der Rechtsmittelschrift wird vorgebracht, die Mehrheit der abgeurteilten Delikte habe sich - mit Ausnahme der versuchten schweren Körperverletzung - nicht gegen besonders hochwertige Rechtsgüter gerichtet, weshalb bei deren Verletzung keine schwerwiegende Gefährdungslage begründet werde. Es müsse zudem berücksichtigt werden, dass der Beschwerdeführer bei der damaligen Auseinandersetzung nicht selbst mit dem Messer zugestochen habe. Schliesslich sei beweismässig nicht erstellt, dass der Einsatz des Messers mit dem Bruder vereinbart gewesen sei; der Beschwerdeführer habe dieses Verhalten vielmehr nie gebilligt.</w:t>
      </w:r>
    </w:p>
    <w:p>
      <w:r>
        <w:rPr>
          <w:b/>
        </w:rPr>
        <w:t>E. 4.4</w:t>
      </w:r>
    </w:p>
    <w:p>
      <w:r>
        <w:t>Der vom Obergericht Aargau festgestellte Sachverhalt, seine rechtliche Würdigung und die verhängte Freiheitsstrafe von dreieinhalb Jahren implizieren aus ausländerrechtlicher Sicht eine schwere Rechtsverletzung und ein beträchtliches Verschulden, was im Übrigen nicht mit Kritik an der rechtskräftigen strafrichterlichen Erkenntnis relativiert werden kann. Auch die vom Beschwerdeführer geltend gemachten Umstände sind im Rahmen der Strafzumessung bereits eingeflossen. Dass es beim Versuch der schweren Körperverletzung blieb, mag zwar zu einer Reduktion der strafrechtlichen Sanktion geführt haben. Unter dem Gesichtspunkt der Gefahrenabwehr ist dieser Umstand jedoch nicht von Belang, solange der Erfolg - wie im vorliegenden Fall geschehen - durch Umstände verhindert wurde, die sich der Beschwerdeführer nicht als eigenes Verdienst zurechnen kann. Unter dem Gesichtspunkt der Gefahrenabwehr fällt ferner ins Gewicht, dass der Beschwerdeführer sich selbst von der im Zusammenhang mit einem früheren Urteil noch laufenden Probezeit nicht von der Tat abhalten liess.</w:t>
      </w:r>
    </w:p>
    <w:p>
      <w:r>
        <w:rPr>
          <w:b/>
        </w:rPr>
        <w:t>E. 4.5</w:t>
      </w:r>
    </w:p>
    <w:p>
      <w:r>
        <w:t>In Anbetracht der mehrfachen Delinquenz und der zunehmenden Schwere des deliktischen Verhaltens des Beschwerdeführers kann kein Zweifel bestehen, dass von ihm nicht nur eine Gefahr für die öffentliche Ordnung und Sicherheit ausgeht, sondern diese Gefahr im Sinne von Art. 67 Abs. 3 zweiter Satz AIG qualifiziert ist. Es ist in diesem Zusammenhang darauf hinzuweisen, dass die schwere Körperverletzung zu denjenigen Anlasstaten gehört, die vom Verfassungsgeber als besonders verwerflich betrachtet werden und zum Verlust eines jeden Aufenthaltsrechts sowie zu einem obligatorischen Einreiseverbot von 5 bis 15 Jahren Dauer führen soll (Art. 121 Abs. 3 Bst. a und Abs. 4 BV i.V.m. Art. 66a Abs. 1 Bst. b StGB). Dieser Wertung ist in den Schranken des übrigen Verfassungs- und Völkerrechts Rechnung zu tragen (vgl. Urteil des BGer 2C_861/2016 vom 21. Dezember 2016 E. 2.2.2 m.H.). Das bedeutet unter anderem, dass die Anforderungen an die Wiederholungsgefahr herabgesetzt sind.</w:t>
      </w:r>
    </w:p>
    <w:p>
      <w:r>
        <w:rPr>
          <w:b/>
        </w:rPr>
        <w:t>E. 4.6</w:t>
      </w:r>
    </w:p>
    <w:p>
      <w:r>
        <w:t>Dem Umstand, dass der Beschwerdeführer seit dem Jahr 2014 nicht mehr strafrechtlich in Erscheinung getreten ist, kann entgegen dessen Auffassung keine ausschlaggebende Bedeutung zugemessen werden. Seit seiner Festnahme am (...) 2014 befand er sich bis zu seiner vorzeitigen Entlassung aus dem Strafvollzug grossmehrheitlich in Haft. Über sein Vollzugsverhalten ist den vorinstanzlichen Akten lediglich zu entnehmen, er sei anständig und freundlich aufgetreten und in der Strafanstalt in der Industriemontage tätig gewesen. Doch selbst wenn sich der Beschwerdeführer während der Zeit der Unfreiheit tadellos verhalten hätte, könnte er daraus nichts Besonderes zu seinen Gunsten ableiten. Denn aufgrund der unterschiedlichen Zielsetzung des Straf- und Ausländerrechts kommt im ausländerrechtlichen Administrativverfahren weder dem Wohlverhalten während des eng überwachten und betreuten Strafvollzugsalltags noch der Gewährung einer bedingten Entlassung aus dem Strafvollzug eine ausschlaggebende Bedeutung zu (vgl. dazu eingehend BGE 137 II 233 E. 5.2.2 m.H.). Nach seiner bedingten Entlassung aus dem Strafvollzug am 18. September 2017 stand der Beschwerdeführer noch bis zum 18. November 2018 unter dem Druck der Probezeit und - parallel dazu - des ausländerrechtlichen Widerrufsverfahren, was ein korrektes Verhalten seinerseits nahelegte (vgl. dazu anstelle vieler Urteil des BVGer F-5350/2016 vom 6. März 2017 E. 6.5 m.H.). Die seit der Haftentlassung verstrichene Zeit ist daher viel zu kurz bemessen, als dass unter den gegebenen Umständen selbst bei einwandfreiem Verhalten des Beschwerdeführers davon ausgegangen werden könnte, die vormals gegebene qualifizierte Gefährdungslage werde entscheidend relativiert.</w:t>
      </w:r>
    </w:p>
    <w:p>
      <w:r>
        <w:rPr>
          <w:b/>
        </w:rPr>
        <w:t>E. 4.7</w:t>
      </w:r>
    </w:p>
    <w:p>
      <w:r>
        <w:t>Als Zwischenergebnis ist festzuhalten, dass der Beschwerdeführer zum heutigen Zeitpunkt den qualifizierten Fernhaltegrund einer schwerwiegenden Gefahr für die öffentliche Sicherheit und Ordnung im Sinne von Art. 67 Abs. 3 zweiter Satz AIG erfüllt. Das gegen ihn verhängte Einreiseverbot darf damit die Dauer von fünf Jahren überschreiten.</w:t>
      </w:r>
    </w:p>
    <w:p>
      <w:r>
        <w:rPr>
          <w:b/>
        </w:rPr>
        <w:t>E. 5.1</w:t>
      </w:r>
    </w:p>
    <w:p>
      <w:r>
        <w:t>Zu prüfen bleibt, ob das angefochtene Einreiseverbot als solches und in seiner Dauer in pflichtgemässer Ermessensausübung angeordnet wurde und vor dem Grundsatz der Verhältnismässigkeit standhält. Erforderlich ist eine einzelfallbezogene Abwägung zwischen den berührten öffentlichen und privaten Interessen.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5.2</w:t>
      </w:r>
    </w:p>
    <w:p>
      <w:r>
        <w:t>Vom Beschwerdeführer geht, wie weiter oben ausgeführt wurde, eine schwerwiegende Gefahr für die öffentliche Sicherheit und Ordnung aus. Dementsprechend erheblich ist das öffentliche Interesse an seiner längerfristigen Fernhaltung.</w:t>
      </w:r>
    </w:p>
    <w:p>
      <w:r>
        <w:rPr>
          <w:b/>
        </w:rPr>
        <w:t>E. 5.3</w:t>
      </w:r>
    </w:p>
    <w:p>
      <w:r>
        <w:t>Dem öffentlichen Fernhalteinteresse gegenüber beruft sich der Beschwerdeführer auf sein privates Interesse an persönlichen Kontakten zu seiner in der Schweiz lebenden Ehefrau und den drei minderjährigen Kindern. Mit der Verhängung eines Einreiseverbots von sieben Jahren Dauer habe die Vorinstanz diese Interessen nur ungenügend berücksichtigt; die Massnahme sei unverhältnismässig und auf maximal drei Jahre zu reduzieren. Da die Kinder in der Schweiz geboren seien, hierzulande die Schule besuchten und keinen Bezug zum Kosovo hätten, werde die Familie weiterhin in der Schweiz leben. Der Beschwerdeführer sei dadurch vom verhängten Einreiseverbot besonders schwer betroffen. Zudem lebten auch die Grosseltern alle in der Schweiz und in Finnland. Besuche der Familie in Kosovo seien sodann aus finanziellen Gründen in naher Zukunft nicht möglich. Angesichts des jungen Alters der Kinder sei schliesslich der Kontakt mittels digitalen Kommunikationsmöglichkeiten als äusserst unbefriedigend zu bezeichnen.</w:t>
      </w:r>
    </w:p>
    <w:p>
      <w:r>
        <w:rPr>
          <w:b/>
        </w:rPr>
        <w:t>E. 5.4</w:t>
      </w:r>
    </w:p>
    <w:p>
      <w:r>
        <w:t>Vorweg ist festzuhalten, dass Einschränkungen des Privat- und Familienlebens aufgrund sachlicher und funktioneller Unzuständigkeit des Bundesverwaltungsgerichts nicht im Rahmen des Verfahrens auf Überprüfung des Einreiseverbots zu thematisieren sind, soweit sie auf das Fehlen eines dauerhaften Aufenthaltsrechts in der Schweiz zurückzuführen sind. Denn die Niederlassungsbewilligung wurde dem Beschwerdeführer als Folge seiner Straftaten rechtskräftig entzogen, und er musste die Schweiz in Nachachtung der gleichzeitig angeordneten Wegweisung verlassen. Eine erneute Wohnsitznahme in der Schweiz wie auch die Pflege regelmässiger Kontakte zu in der Schweiz wohnhaften Personen scheitert daher bereits am fehlenden Aufenthaltsrecht hierzulande.</w:t>
      </w:r>
    </w:p>
    <w:p>
      <w:r>
        <w:rPr>
          <w:b/>
        </w:rPr>
        <w:t>E. 5.5</w:t>
      </w:r>
    </w:p>
    <w:p>
      <w:r>
        <w:t>Nach dem Gesagten stellt sich im Folgenden einzig die Frage, ob die über die Verweigerung des Aufenthaltsrechts hinausgehende, durch das Einreiseverbot zusätzlich bewirkte Beeinträchtigung des Familien- und Privatlebens einer rechtlichen Prüfung standhält. Als ausländische Person ohne Aufenthaltsbewilligung dürfte sich der Beschwerdeführer ohne Einreiseverbot nur im Rahmen von bewilligungsfreien Kurzaufenthalten in der Schweiz aufhalten, wofür er als Staatsangehöriger Kosovos grundsätzlich ein Visum benötigt (Art. 8 der Verordnung vom 22. Oktober 2008 über die Einreise und die Visumserteilung [VEV, SR 142 204] i.V.m. Anhang I Ziff. 2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Visumspflicht befreit sind [kodifizierter Text] [ABl. L 303/39 vom 28. November 2018]). Die Fernhaltemassnahme wirkt sich in diesem Sinne nur insoweit zusätzlich erschwerend aus, als der Beschwerdeführer für bewilligungsfreie Kurzaufenthalte zusätzlich zum Visum eine Suspension des Einreiseverbots einholen muss. Eine solche Suspension kann auf Gesuch hin für kurze, klar begrenzte Zeit ausnahmsweise gewährt werden, wenn wichtige Gründe vorliegen (Art. 67 Abs. 5 AIG). In diesem - wenn auch stark eingeschränkten - Rahmen hat der Beschwerdeführer grundsätzlich weiterhin die Möglichkeit, Beziehungen zu Personen in der Schweiz auf schweizerischem Hoheitsgebiet zu pflegen. Kontakte ausserhalb des Schengenraums beziehungsweise auf andere Weise als durch persönliche Treffen werden durch die Massnahme nicht beeinträchtigt (vgl. zum Ganzen BVGE 2014/20 E. 8.3.4 m.H.).</w:t>
      </w:r>
    </w:p>
    <w:p>
      <w:r>
        <w:rPr>
          <w:b/>
        </w:rPr>
        <w:t>E. 5.6</w:t>
      </w:r>
    </w:p>
    <w:p>
      <w:r>
        <w:t>Zur Dauer des Aufenthalts in der Schweiz und der daraus resultierenden Integration ist festzustellen, dass der Beschwerdeführer in Kosovo aufgewachsen und erst als 21-jähriger in die Schweiz gekommen war. Trotzdem ist davon auszugehen, dass sich das Zentrum seiner Lebensinteressen zwischenzeitlich in die Schweiz verlagert hat, wo er seit seiner Einreise im Jahr 2005 lebte und eine Familie gründete. Bis zu seiner erzwungenen Ausreise scheint er zudem beruflich mindestens teilweise integriert gewesen zu sein. Dies ist alles zu Gunsten des Beschwerdeführers zu vermerken. Von einer gelungenen sprachlichen Integration kann hingegen nicht gesprochen werden, musste doch für das Ausreisegespräch am 6. März 2020 eine Dolmetscherin beigezogen werden. Trotz seiner langjährigen Anwesenheit in der Schweiz bekundete der Beschwerdeführer nach dem bisher Gesagten sodann grosse Mühe mit der Respektierung der Rechtsordnung. Der Beschwerdeführer, der sich im Übrigen weder durch seine Ehe noch durch seine Kinder von wiederholter Delinquenz abhalten liess, hat es somit grundsätzlich hinzunehmen, dass der Kontakt bis auf weiteres vor allem mit modernen Kommunikationsmitteln aufrecht zu erhalten ist. Besuche ausserhalb des Schengenraums und namentlich in Kosovo werden durch das Einreiseverbot zudem nicht beeinträchtigt. Damit ist ein gewisses Mass an Familienleben gewährleistet, bei dem auch das Kindeswohl gebührend berücksichtigt wird (vgl. dazu anstelle vieler Urteil des BVGer F-4029/2016 vom 22. März 2017 E. 7.2.2). Insbesondere kann so noch ein (minimaler) Kontakt zu den Kindern aufrechterhalten werden, der im Übrigen bereits im Rahmen des Strafvollzugs nur stark eingeschränkt möglich war.</w:t>
      </w:r>
    </w:p>
    <w:p>
      <w:r>
        <w:rPr>
          <w:b/>
        </w:rPr>
        <w:t>E. 5.7</w:t>
      </w:r>
    </w:p>
    <w:p>
      <w:r>
        <w:t>Das Bundesverwaltungsgericht verkennt nicht, dass das dem Einreiseverbot eigene besondere Kontrollregime den mit der Schweiz vielfach verbundenen Beschwerdeführer vergleichsweise empfindlich trifft. In Betrachtung aller relevanter Faktoren und im Rahmen einer wertenden Gewichtung der sich entgegenstehenden öffentlichen und privaten Interessen, aber auch in Berücksichtigung vergleichbarer Fälle, gelangt das Gericht trotzdem zum Schluss, dass das von der Vorinstanz verhängte siebenjährige Einreiseverbot eine verhältnismässige und angemessene Massnahme darstellt.</w:t>
      </w:r>
    </w:p>
    <w:p>
      <w:r>
        <w:rPr>
          <w:b/>
        </w:rPr>
        <w:t>E. 6</w:t>
      </w:r>
    </w:p>
    <w:p>
      <w:r>
        <w:t>Zu prüfen bleibt die von der Vorinstanz angeordnete Ausschreibung des Einreiseverbots im SIS II.</w:t>
      </w:r>
    </w:p>
    <w:p>
      <w:r>
        <w:rPr>
          <w:b/>
        </w:rPr>
        <w:t>E. 6.1</w:t>
      </w:r>
    </w:p>
    <w:p>
      <w:r>
        <w:t>Der Beschwerdeführer bringt diesbezüglich vor, seine nächsten Familienmitglieder sowie die meisten seiner Freunde seien im Schengenraum wohnhaft, weshalb eine Ausschreibung des Einreiseverbots im SIS II faktisch zu seiner sozialen Isolation führe. Sein Vater, seine Stiefmutter sowie drei Geschwister lebten in Finnland. Überdies bestehe ein enges Verhältnis zu einem in Frankreich lebenden Onkel sowie dessen Söhnen. Hinzu komme, dass er eine Anstellung in Polen in Aussicht habe.</w:t>
      </w:r>
    </w:p>
    <w:p>
      <w:r>
        <w:rPr>
          <w:b/>
        </w:rPr>
        <w:t>E. 6.2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 Dezember 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dafür bestehen, dass sie solche Taten im Hoheitsgebiet eines Mitgliedstaats plant (Art. 24 Ziff. 2 Bst. b SIS-II-Verordnung).</w:t>
      </w:r>
    </w:p>
    <w:p>
      <w:r>
        <w:rPr>
          <w:b/>
        </w:rPr>
        <w:t>E. 6.3</w:t>
      </w:r>
    </w:p>
    <w:p>
      <w:r>
        <w:t>Der Beschwerdeführer kann als Drittstaatsangehöriger grundsätzlich zur Einreise- bzw. Aufenthaltsverweigerung im SIS II ausgeschrieben werden. Die von ihm zu verantwortenden Straftaten erfüllen ferner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 Angesichts der festgestellten, vom Beschwerdeführer ausgehenden qualifizierten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des Einreiseverbots einhergehende, zusätzliche Beeinträchtigung hat der Beschwerdeführer in Kauf zu nehmen.</w:t>
      </w:r>
    </w:p>
    <w:p>
      <w:r>
        <w:rPr>
          <w:b/>
        </w:rPr>
        <w:t>E. 6.4</w:t>
      </w:r>
    </w:p>
    <w:p>
      <w:r>
        <w:t>Es bleibt den Schengen-Staaten im Übrigen unbenommen, einer ausgeschriebenen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bzw. ihr ein Schengen-Visum mit räumlich beschränkter Gültigkeit auszustellen (vgl. Art. 25 Abs. 1 Bst. a [ii] der Verordnung [EG] Nr. 810/2009 des Europäischen Parlaments und des Rates vom 13. Juli 2009 über einen Visakodex der Gemeinschaft [Visakodex, ABl. L 243/1 vom 15. September 2009]).</w:t>
      </w:r>
    </w:p>
    <w:p>
      <w:r>
        <w:rPr>
          <w:b/>
        </w:rPr>
        <w:t>E. 7</w:t>
      </w:r>
    </w:p>
    <w:p>
      <w:r>
        <w:t>Aus diesen Erwägungen folgt, dass sowohl das auf sieben Jahre befristete Einreiseverbot wie auch dessen Ausschreibung im SIS II im Lichte von Art. 49 VwVG nicht zu beanstanden sind. Die Beschwerde ist demzufolge abzuweisen.</w:t>
      </w:r>
    </w:p>
    <w:p>
      <w:r>
        <w:rPr>
          <w:b/>
        </w:rPr>
        <w:t>E. 8</w:t>
      </w:r>
    </w:p>
    <w:p>
      <w:r>
        <w:t>Bei diesem Ausgang des Verfahrens sind die Verfahrenskosten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