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F-2377/2016 vom 1. Mai 2017</w:t>
      </w:r>
    </w:p>
    <w:p>
      <w:r>
        <w:t>Bundesverwaltungsgericht, 2017-05-01, FR</w:t>
      </w:r>
    </w:p>
    <w:p>
      <w:r>
        <w:rPr>
          <w:b/>
        </w:rPr>
        <w:t xml:space="preserve">Quelle: </w:t>
      </w:r>
      <w:r>
        <w:t>https://mcp.opencaselaw.ch/entscheid/bvger_F-2377_2016</w:t>
      </w:r>
    </w:p>
    <w:p>
      <w:r>
        <w:t>FR: TAF F-2377/2016 du 1 mai 2017</w:t>
      </w:r>
    </w:p>
    <w:p>
      <w:r>
        <w:t>IT: TAF F-2377/2016 del 1 maggio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le Tribunal prend en considération l'état de fait régnant au moment où il statue (cf. ATAF 2014/1 consid. 2).</w:t>
      </w:r>
    </w:p>
    <w:p>
      <w:r>
        <w:rPr>
          <w:b/>
        </w:rPr>
        <w:t>E. 3.1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Tribunal administratif fédéral C-5819/2012 du 26 août 2014 consid. 4 [non publié dans ATAF 2014/20] et C-2178/2013 du 9 avril 2014 consid. 3.2, et la jurisprudence citée).</w:t>
      </w:r>
    </w:p>
    <w:p>
      <w:r>
        <w:rPr>
          <w:b/>
        </w:rPr>
        <w:t>E. 3.3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3.4</w:t>
      </w:r>
    </w:p>
    <w:p>
      <w:r>
        <w:t>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les arrêts du Tribunal administratif fédéral F-1919/2016 du 6 octobre 2016 consid. 4.4 et C-847/2013 du 21 mars 2014 consid. 5.3.3, avec la jurisprudence citée).</w:t>
      </w:r>
    </w:p>
    <w:p>
      <w:r>
        <w:rPr>
          <w:b/>
        </w:rPr>
        <w:t>E. 3.5</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consid. 4.2;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w:t>
      </w:r>
    </w:p>
    <w:p>
      <w:r>
        <w:rPr>
          <w:b/>
        </w:rPr>
        <w:t>E. 4</w:t>
      </w:r>
    </w:p>
    <w:p>
      <w:r>
        <w:t>En l'occurrence, le 4 mars 2016, SEM a reconsidéré sa décision du 27 novembre 2012 en limitant ses effets au 3 mars 2026. L'autorité précitée a retenu dans la décision querellée du 4 mars 2016 qu'une telle mesure d'éloignement s'imposait en raison de la gravité des infractions commises par A._______ durant sa présence sur territoire helvétique et de la mise en danger de la sécurité et de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4.1</w:t>
      </w:r>
    </w:p>
    <w:p>
      <w:r>
        <w:t>L'examen du dossier montre que le comportement de l'intéressé durant sa présence sur territoire helvétique a donné lieu à six condamnations pénales au moins, la plupart liées à des infractions à la législation sur les étrangers et à la LStup (cf. supra consid. B). Il appert ainsi du jugement pénal condamnant A._______ à une peine privative de liberté de seize mois que celui-ci s'est livré durant la période considérée, soit du 15 juillet 1997 au 2 mars 2001, à un trafic d'héroïne portant sur des quantités dépassant la limite du cas grave et qu'il a même poursuivi ce trafic après avoir été détenu préventivement (cf. jugement rendu par le Tribunal correctionnel vaudois le 8 mai 2002, pp. 18 et 21).</w:t>
      </w:r>
    </w:p>
    <w:p>
      <w:r>
        <w:rPr>
          <w:b/>
        </w:rPr>
        <w:t>E. 4.2</w:t>
      </w:r>
    </w:p>
    <w:p>
      <w:r>
        <w:t>A ce stade, il s'impose donc de retenir que le recourant, par son comportement délictueux adopté à réitérées reprises, a indiscutablement attenté à la sécurité et à l'ordre publics en Suisse, de sorte qu'il remplit incontestablement les conditions d'application de l'art. 67 al. 2 let. a LEtr. Aussi la mesure d'interdiction d'entrée, reconsidérée par le SEM le 4 mars 2016, est-elle manifestement justifiée dans son principe.</w:t>
      </w:r>
    </w:p>
    <w:p>
      <w:r>
        <w:rPr>
          <w:b/>
        </w:rPr>
        <w:t>E. 4.3</w:t>
      </w:r>
    </w:p>
    <w:p>
      <w:r>
        <w:t>Il convient encore de déterminer si A._______ constitue une menace grave pour la sécurité et l'ordre publics justifiant le prononcé d'une mesure d'éloignement allant au-delà de la durée maximale de cinq ans prévue à l'art. 67 al. 3 1ère phrase LEtr.</w:t>
      </w:r>
    </w:p>
    <w:p>
      <w:r>
        <w:rPr>
          <w:b/>
        </w:rPr>
        <w:t>E. 4.3.1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et réf. cit. [sur l'applicabilité de cette jurisprudence à des ressortissants provenant d'Etats tiers, cf. ATF 139 II précité consid. 6.2]).</w:t>
      </w:r>
    </w:p>
    <w:p>
      <w:r>
        <w:rPr>
          <w:b/>
        </w:rPr>
        <w:t>E. 4.3.2</w:t>
      </w:r>
    </w:p>
    <w:p>
      <w:r>
        <w:t>A cet égard, force est de constater une fois encore que les infractions imputées au recourant sont objectivement graves, tout particulièrement celle ayant entraîné une peine privative de liberté de seize mois, comme cela a déjà été exposé ci-dessus. Ces agissements coupables, notamment liés aux infractions à la LStup, constituent indéniablement une menace caractérisée contre les biens juridiquement protégés (en l'occurrence la santé), ainsi qu'un trouble à l'ordre social, et affectent un intérêt fondamental de la société. C'est ici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 (ATF 129 II 215 consid. 7.3 et 125 II 521 consid. 4a/aa ; cf. également l'arrêt du Tribunal fédéral 2C_351/ 2008 du 22 octobre 2008 consid. 2.3).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(cf. arrêt du Tribunal fédéral 2C_227/2011 du 25 août 2011 consid. 3.1 et jurispr. cit.);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fédéral 2C_313/2010 du 28 juillet 2010 consid. 5.2 ; cf. aussi les arrêts du Tribunal administratif fédéral F-1919/2016 précité consid. 5.2.2 et C-8304/2007 du 2 septembre 2009 consid. 9.2, ainsi que la jurisprudence citée). A cela s'ajoute que l'intéressé ne s'est nullement amendé puisqu'après cette condamnation, il a à nouveau commis des contraventions et infractions à la LStup, ainsi qu'à d'autres biens juridiques. Son comportement a ainsi donné lieu à de nouvelles condamnations pénales les 29 mai 2005, 27 mars 2008, 11 juillet 2008, 7 juin 2010 et 4 juillet 2012 (cf. supra let. B). Dans ce contexte, il appert, de plus, qu'A._______ a séjourné sur le territoire helvétique durant de longues périodes sans être en possession de la moindre autorisation délivrée par les autorités compétentes (cf. supra let. B). Ce faisant, l'intéressé a enfreint gravement et de manière répétée la législation sur les étrangers. Apprécié sous l'angle de la protection de l'ordre et de la prévention des infractions, le comportement délictueux du recourant nécessite donc sans conteste une intervention adéquate des autorités fédérales à son endroit.</w:t>
      </w:r>
    </w:p>
    <w:p>
      <w:r>
        <w:rPr>
          <w:b/>
        </w:rPr>
        <w:t>E. 4.4</w:t>
      </w:r>
    </w:p>
    <w:p>
      <w:r>
        <w:t>Par conséquent, au vu de la nature, de la gravité et du nombre d'actes délictueux commis (cf. supra consid. B), le Tribunal de céans ne saurait poser un pronostic favorable quant au comportement futur d'A._______ et arrive à la conclusion que les conditions émises à l'art. 67 al. 3 2ème phrase LEtr sont en l'espèce réunies et justifient son éloignement du territoire suisse pour une durée notablement supérieure à cinq ans. En effet, le comportement adopté par le prénommé durant sa présence dans le canton de Vaud dénote une incapacité notoire à se conformer aux règles et aux décisions prises par les autorités et a pour conséquence de conforter le Tribunal de céans dans son appréciation du risque pour la sécurité et l'ordre publics en Suisse. Le fait que la plus lourde condamnation pénale remonte à 2002 déjà et qu'elle concerne des actes perpétrés jusqu'au début de l'année 2001 (cf. déterminations du 26 septembre 2016, p. 2) ne saurait modifier cette analyse, ni le fait que la condamnation du 8 mai 2002 ne dépassait que de quatre mois le plafond (soit une année) en dessous duquel une condamnation n'est pas considérée comme de longue durée au sens de la LEtr (ibid.). Le SEM a également retenu dans sa décision du 4 mars 2016 que l'intéressé faisait encore l'objet d'une enquête pénale en cours depuis le 17 juin 2013, diligentée par le Ministère public de l'arrondissement du Nord vaudois, pour menaces et lésions corporelles simples (cf. extrait du casier judiciaire suisse du 7 juillet 2016). Sur ce point, le recourant fait valoir qu'il doit être mis au bénéfice de la présomption d'innocence, cela d'autant que ces infractions sont poursuivies sur plainte uniquement et ne constituent pas une menace grave pour l'ordre public (cf. déterminations du 26 septembre 2016, p. 2). A cet égard, il convient de noter que la présomption d'innocence est un principe propre au droit pénal. Elle ne peut donc trouver à s'appliquer s'agissant d'une mesure purement administrative telle une interdiction d'entrée (cf. arrêts du Tribunal administratif fédéral C-6205/2012 du 30 octobre 2014 consid. 4 et C-1444/2009 du 25 février 2010 consid. 5.2, et réf. cit.; cf. également Minh Son Nguyen, Droit public des étrangers: présence, activité économique et statut politique, Berne 2003, p. 608). En effet, 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La Confédération suisse ne saurait ainsi tolérer sur son territoire des individus dont le comportement fait l'objet de graves soupçons étayés par des indices suffisamment sérieux, au seul motif que la réunion des preuves formelles nécessaires sur le plan pénal s'avère difficile (cf. JAAC 62.1) ou que l'enquête, voire la procédure pénale, se prolonge pour d'autres raisons (liées, par exemple, à la complexité de l'affaire, à la multitude des infractions commises, à l'existence de causes jointes ou à l'utilisation par les personnes impliquées de l'ensemble des moyens de droit à leur disposition). Il s'ensuit que l'autorité administrative n'est pas liée par la décision prise en matière pénale; en se fondant sur des critères d'appréciation qui lui sont propres, elle peut donc être amenée à déduire de circonstances identiques d'autres conséquences que l'autorité pénale, même plus rigoureuses (cf. ATF 130 II 493 consid. 4.2 et jurisprud. cit.).</w:t>
      </w:r>
    </w:p>
    <w:p>
      <w:r>
        <w:rPr>
          <w:b/>
        </w:rPr>
        <w:t>E. 5</w:t>
      </w:r>
    </w:p>
    <w:p>
      <w:r>
        <w:t>Il convient encore d'examiner si la durée de la mesure d'éloignement prise par l'autorité inférieure et reconsidérée le 4 mars 2016 satisfait aux principes de la proportionnalité et de l'égalité de traitement.</w:t>
      </w:r>
    </w:p>
    <w:p>
      <w:r>
        <w:rPr>
          <w:b/>
        </w:rPr>
        <w:t>E. 5.1</w:t>
      </w:r>
    </w:p>
    <w:p>
      <w:r>
        <w:t>5.1.1 A cet égard, il importe tout d'abord de relever que, selon les précisions apportées récemment par la jurisprudence sur la durée de validité des interdictions d'entrée motivées par l'existence d'une menace grave pour la sécurité et l'ordre publics suisses (art. 67 al. 3 LEtr), cette durée sera fixée sur une période dépassant cinq ans et pouvant s'étendre au maximum à quinze ans, voire à vingt ans en cas de récidive (cf. ATAF 2014/20 consid. 7).</w:t>
      </w:r>
    </w:p>
    <w:p>
      <w:r>
        <w:rPr>
          <w:b/>
        </w:rPr>
        <w:t>E. 5.1.2</w:t>
      </w:r>
    </w:p>
    <w:p>
      <w:r>
        <w:t>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 voir également les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l'ATF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l'ATF 139 II 121 consid. 6.5.1 et la jurisprudence citée). L'examen sous l'angle de l'art. 8 par. 2 CEDH se confond avec celui imposé par l'art. 96 LEtr (cf. notamment les arrêts du Tribunal fédéral 2C_53/2015 du 31 mars 2015 consid. 5.3 et 2C_139/2014 du 4 juillet 2014 consid. 5). 5.25.2.1 Concernant les deux premières règles susmentionnées, il est indéniable, en l'absence, actuellement, d'un pronostic favorable quant au risque de réitération des types d'infractions commises par le recourant (cf. consid. 4.3), que l'éloignement de ce dernier du territoire suisse est apte et nécessaire pour atteindre les buts visés, à savoir protéger l'ordre et la sécurité publics. 5.2.2 S'agissant de la règle de la proportionnalité au sens étroit, il sied de procéder à une pesée des intérêts en présence, à savoir d'un côté l'intérêt privé d'A._______ à pouvoir entrer librement sur le territoire suisse, et d'un autre côté, l'intérêt public à le tenir éloigné afin de protéger l'ordre et la sécurité publics. Dans le cas particulier, l'interdiction d'entrée en Suisse prise à l'endroit du recourant apparaît également justifiée sous cet angle. En ce qui concerne l'intérêt public, il est à noter que l'interdiction d'entrée est une mesure administrative de contrôle qui tend à le tenir éloigné de la Suisse où il a contrevenu aux prescriptions légales en commettant des infractions revêtant une gravité particulière (cf. pour le détail des infractions, consid. B supra). Il en va de l'intérêt de l'Etat à voir respecter l'ordre établi et la législation en vigueur (cf. arrêts du Tribunal administratif fédéral F-1919/2016 précité consid. 6.2.2 et C-4334/2014 du 19 mai 2015 consid. 7.2 et réf. cit.). En l'occurrence, il convient de souligner qu'après sa condamnation pénale du 8 mai 2002, A._______, au lieu de s'amender, a persévéré dans son activité délictueuse sur le territoire suisse - pour laquelle il a été derechef condamné à réitérées reprises - et y a poursuivi son séjour en ne respectant pas non plus les décisions de renvoi et d'interdiction d'entrée qui avait été rendues à son encontre le 19 avril 2004 (cf. supra let. A), ce qui avait alors entraîné de nouvelles condamnations pénales par les instances judiciaires vaudoises. Les nombreuses infractions constatées, ainsi que l'attitude, au demeurant inadmissible, d'A._______ quant à la persistance de sa présence illégale sur le territoire suisse, rendent illusoires tout pronostic positif quant à son comportement futur. Aussi l'argument du recourant tiré du fait qu'il ne vit plus en Suisse depuis longtemps et qu'il n'a pas pu se rendre en Slovénie pour y assister au mariage d'un proche (cf. mémoire de recours, p. 3, et déterminations du 26 septembre 2016, p. 2) ne saurait-il être retenu dans ces circonstances, sous peine de rendre inopérantes les mesures visant précisément à tenir éloignées d'un territoire les personnes ayant gravement mis en danger l'ordre et la sécurité publics d'un pays membre de l'Espace Schengen. Quant à l'intérêt privé de l'intéressé à pouvoir revenir librement en Suisse, le Tribunal constate que le recourant a regagné seul la Bosnie et Herzégovine pour y poursuivre sa vie en novembre 2012 (cf. déterminations du 26 septembre 2016, p. 1) et que, hormis la présence de sa mère résidant dans le canton de Vaud (cf. courrier du 29 août 2016), le recourant ne fait pas état d'autres liens particuliers avec la Suisse, tant sur les plans privé que socio-professionnel.</w:t>
      </w:r>
    </w:p>
    <w:p>
      <w:r>
        <w:rPr>
          <w:b/>
        </w:rPr>
        <w:t>E. 5.3</w:t>
      </w:r>
    </w:p>
    <w:p>
      <w:r>
        <w:t>Dans le cadre de la décision attaquée du 4 mars 2016, le SEM a avisé A._______ que la mesure d'éloignement prononcée à son encontre le 27 novembre 2012 pour une durée indéterminée était parfaitement justifiée, au vu des infractions qu'il avait commises (par le passé), et qu'elle devait donc être maintenue dans son principe. Il a cependant décidé « de limiter les effets » de la mesure précitée au 3 mars 2026, compte tenu de la nouvelle jurisprudence du Tribunal de céans stipulant la limitation de toute interdiction d'entrée à une certaine durée (cf. ATAF 2014/20 consid. 6). Dans la mesure où le SEM a procédé d'office à la reconsidération de sa décision du 27 novembre 2012 et où les faits retenus contre l'intéressé ne sont pas survenus postérieurement à cette date, c'est le jour de son prononcé initial (« dies a quo ») qui doit servir de point de référence pour effectuer le calcul de la durée - et, partant, de l'échéance - de la mesure d'éloignement querellée (cf. arrêt du Tribunal administratif fédéral F-1492/2016 du 28 septembre 2016 consid. 8). Le 4 mars 2016, le SEM a également retenu que la décision d'interdiction d'entrée était valable dès le 27 novembre 2012 jusqu'au 3 mars 2026, de sorte qu'elle porte effectivement sur une durée de treize ans et trois mois environ. Or, le Tribunal de céans estime qu'une durée aussi longue est excessive au vu des particularités du cas d'espèce. Aussi, procédant une pondération des intérêts en présence, le Tribunal arrive-t-il à la conclusion que la durée de l'interdiction d'entrée rendue à l'encontre d'A._______ doit être ramenée à une période de dix ans à compter de son prononcé initial le 27 novembre 2012, soit jusqu'au 26 novembre 2022. Une telle durée paraît en effet conforme aux principes de proportionnalité et dans un rapport plus raisonnable avec l'intérêt privé du recourant - dont les attaches avec la Suisse sont toutefois particulièrement ténues - à pouvoir à nouveau circuler sans contrainte sur l'ensemble des territoires des Etats membres de l'Espace Schengen, cela dans un avenir pas trop lointain. Il n'en reste pas moins que cette liberté ne saurait en l'état supplanter l'intérêt public à l'éloignement de la Suisse de l'intéressé pendant une durée relativement longue, compte tenu du risque de récidive non négligeable que ce dernier présente malgré tout, eu égard à la nature et la fréquence des actes pour lesquels il a été condamné durant sa présence sur le territoire helvétique. Par ailleurs, au regard des décisions prises par les autorités fédérales dans des cas analogues, la durée de dix ans de la mesure d'interdiction d'entrée n'est pas contraire au principe d'égalité de traitement. Cela étant, même si la durée de dix ans finalement retenue par le Tribunal paraît sévère, il ne faut pas perdre de vue que le recourant garde en tout temps la faculté de déposer une demande de suspension de l'interdiction d'entrée auprès du SEM, ce qui lui permettrait, s'il le souhaite, de rendre visite à sa mère résidant dans le canton de Vaud. 6.Le SEM a par ailleurs ordonné l'inscription de l'interdiction d'entrée dans le SIS. Ainsi que cela ressort du dossier, A._______ est un ressortissant d'un pays tiers au sens de la législation de l'Union européenne (cf. supra consid. 3.2). En raison de ce signalement dans le SIS, il lui est interdit de pénétrer dans l'Espace Schengen jusqu'au 26 novembre 2022.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3.2 in fine). 7.Enfin, dans le cas d'espèce, c'est à bon droit que le SEM n'a pas fait application de l'at. 67 al. 5 LEtr. En effet, il ne ressort pas du dossier que des raisons humanitaires ou d'autres motifs importants puissent justifier le renoncement au prononcé d'une mesure d'éloignement, au vu de la nature, de la fréquence et de la gravité des infractions commises par le recourant. 8.En conséquence, le recours doit être partiellement admis, dans la mesure où la décision querellée est réformée en ce sens qu'elle prendra fin le 26 novembre 2022. Vu l'issue de la cause, des frais réduits de procédure doivent être mis à la charge du recourant (cf. art. 63 al. 1 PA en relation avec les art. 1 à 3 du règlement du 21 février 2008 concernant les frais, dépens et indemnités fixés par le Tribunal administratif fédéral [FITAF, RS 173.320.2]). Obtenant partiellement gain de cause, le recourant a par ailleurs droit à des dépens réduits pour les frais nécessaires et relativement élevés causés par le litige (cf. art. 64 al. 1 en relation avec l'art. 7 FITAF). Au vu de l'ensemble des circonstances du cas, de l'importance de l'affaire et du degré de difficulté de cette dernière et de l'ampleur du travail accompli par le mandataire, le Tribunal estime, au regard des art. 8ss FITAF, que le versement d'un montant global de Fr. 900.- (ce montant comprend la TVA au sens de l'art. 9 al. 1 let. c FITAF),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