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F-2374/2020 vom 28. Juli 2021</w:t>
      </w:r>
    </w:p>
    <w:p>
      <w:r>
        <w:t>Bundesverwaltungsgericht, 2021-07-28, FR</w:t>
      </w:r>
    </w:p>
    <w:p>
      <w:r>
        <w:rPr>
          <w:b/>
        </w:rPr>
        <w:t xml:space="preserve">Quelle: </w:t>
      </w:r>
      <w:r>
        <w:t>https://mcp.opencaselaw.ch/entscheid/bvger_F-2374_2020</w:t>
      </w:r>
    </w:p>
    <w:p>
      <w:r>
        <w:t>FR: TAF F-2374/2020 du 28 juillet 2021</w:t>
      </w:r>
    </w:p>
    <w:p>
      <w:r>
        <w:t>IT: TAF F-2374/2020 del 28 luglio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(ci-après : le TF), dès lors que le recourant est un ressortissant français (cf. art. 1 al. 2 LTAF en relation avec l'art. 83 al. 1 let. c ch. 1 ; arrêts du TF 2C_135/2017 du 21 février 2017 consid. 5 ; 2C_344/2016 du 6 septembre 2016 consid. 1.1 et les réf. cit.).</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Dans un grief d'ordre formel qu'il convient d'examiner en premier lieu (cf. ATF 138 I 232 consid. 5.1 ; arrêts du TF 2C_1004/2018 du 11 juin 2019 consid. 5 ; 2C_125/2018 du 21 décembre 2018 consid. 2), le recourant a reproché à l'autorité inférieure d'avoir violé son droit d'être entendu, à savoir qu'elle n'aurait jamais notifié la décision attaquée au recourant avant l'envoi d'un duplicata à son avocat et qu'elle ne l'aurait pas entendu au préalable puisqu'elle avait envoyé son courrier à une mauvaise adresse. Le SEM aurait en outre dû lui restituer le droit de se déterminer en lui communiquant le dossier.</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 142 II 218 consid. 2.3).</w:t>
      </w:r>
    </w:p>
    <w:p>
      <w:r>
        <w:rPr>
          <w:b/>
        </w:rPr>
        <w:t>E. 3.2</w:t>
      </w:r>
    </w:p>
    <w:p>
      <w:r>
        <w:t>Dans le cas d'espèce, il ressort du dossier que l'autorité inférieure a rendu sa décision d'interdiction d'entrée querellée sans avoir pu entendre l'intéressé au préalable. Le SEM a en effet tenté, sans succès, d'interpeller l'intéressé pour qu'il se détermine quant à l'éventuel prononcé d'une interdiction d'entrée à son encontre au vu des différentes condamnations pénales dont il avait fait l'objet en Suisse, en lui envoyant, par l'entremise du Consulat, un courrier en France (cf. dossier Symic pp 8 et 9). Celui-ci n'a toutefois pas pu être notifié au recourant et a été retourné au SEM avec la mention « défaut d'accès ou d'adressage ». L'adresse alors utilisée par le SEM est la même que celle figurant sur l'extrait du casier judiciaire fourni par l'Office fédéral de la justice (cf. dossier Symic p. 3). Il ne ressort certes pas des pièces au dossier que le SEM aurait effectué des démarches supplémentaires pour joindre le recourant. Toutefois, il faut relever les difficultés auxquelles peuvent être confrontées les autorités pour notifier des actes au recourant. En particulier, il ressort des ordonnances du Ministère public de l'Est vaudois que l'intéressé est domicilié tantôt en France, tantôt sur des places d'accueil pour gens du voyage, en France ou en Suisse (cf. dossier TAF act. 8). En outre, même lorsque le SEM a tenté de notifier une nouvelle fois sa décision à l'adresse donnée par le recourant lors de son audition par les gardes-frontière, son courrier lui a été retourné avec la mention « pli avisé et non réclamé » (cf. dossier TAF act. 6). Dès lors, rien n'atteste que l'autorité inférieure ait eu la volonté de nuire à l'intéressé, contrairement à ce que semble penser le recourant (cf., notamment, courrier du recourant du 16 juin 2020 ch. 7, dossier TAF act. 14).</w:t>
      </w:r>
    </w:p>
    <w:p>
      <w:r>
        <w:rPr>
          <w:b/>
        </w:rPr>
        <w:t>E. 3.3</w:t>
      </w:r>
    </w:p>
    <w:p>
      <w:r>
        <w:t>Quant à la notification de la décision attaquée, on ne saurait reprocher au SEM d'avoir, dans un premier temps, envoyé son interdiction d'entrée directement au recourant. En effet, lors de son audition par les gardes-frontière, l'intéressé a donné une adresse en France et n'a pas mentionné son souhait de faire appel à son conseil. C'est donc à juste titre que la décision querellée lui a été notifiée à dite adresse, par l'entremise du Consulat. Lorsque l'avocat a pris contact avec le SEM, celui-ci a notifié à nouveau sa décision auprès de ce dernier. Le premier envoi du SEM au recourant s'est croisé avec celui de l'avocat informant de son mandat (cf. dossier Symic pp 29 et 31), de sorte que l'on ne saurait reprocher quoi que ce soit au SEM sur ce point.</w:t>
      </w:r>
    </w:p>
    <w:p>
      <w:r>
        <w:rPr>
          <w:b/>
        </w:rPr>
        <w:t>E. 3.4</w:t>
      </w:r>
    </w:p>
    <w:p>
      <w:r>
        <w:t>En tout état de cause, une éventuelle violation du droit d'être entendu du recourant, qui n'apparaît de loin pas avérée, aurait été réparée devant le Tribunal, celui-ci jouissant d'un plein pouvoir d'examen (cf., dans ce sens, arrêt du TAF F-4618/2017 du 11 décembre 2019 consid. 4.5). On relèvera en effet que le recourant a pu consulter le dossier complet de la cause et se déterminer sur celui-ci. Il a reçu une copie des pièces du dossier de l'autorité précédente avant le dépôt du recours, par envoi du SEM du 19 mars 2020 (cf. dossier Symic p. 106), ainsi qu'au cours de la présente procédure (cf. décision incidente du 22 juin 2021, dossier TAF act. 35), après quoi il a encore eu l'occasion de s'exprimer (cf. dossier TAF act. 40).</w:t>
      </w:r>
    </w:p>
    <w:p>
      <w:r>
        <w:rPr>
          <w:b/>
        </w:rPr>
        <w:t>E. 3.5</w:t>
      </w:r>
    </w:p>
    <w:p>
      <w:r>
        <w:t>Le grief tiré de la violation du droit d'être entendu doit dès lors être écarté.</w:t>
      </w:r>
    </w:p>
    <w:p>
      <w:r>
        <w:rPr>
          <w:b/>
        </w:rPr>
        <w:t>E. 4</w:t>
      </w:r>
    </w:p>
    <w:p>
      <w:r>
        <w:t>Le recourant reproche également au SEM d'avoir mal établi les faits pertinents dès lors qu'il avait motivé sa décision par une procédure pénale en cours pour escroquerie, laquelle avait toutefois été classée avant la date de la décision litigieuse.</w:t>
      </w:r>
    </w:p>
    <w:p>
      <w:r>
        <w:rPr>
          <w:b/>
        </w:rPr>
        <w:t>E. 4.1</w:t>
      </w:r>
    </w:p>
    <w:p>
      <w:r>
        <w:t>A ce propos, il faut relever tout d'abord que cette procédure ne constitue qu'un élément parmi d'autres et n'est de loin pas l'unique motif à la base de l'interdiction d'entrée querellée. En outre, contrairement à ce qu'argue le recourant dans son courrier du 7 juillet 2021, l'extrait du casier judiciaire daté du 14 mars 2019 et figurant dans le dossier du SEM contenait la mention de cette enquête (cf. dossier Symic p. 3). Il sied toutefois de constater, avec le recourant, qu'une ordonnance de suspension et de classement a effectivement été rendue le 5 juillet 2018 dans cette affaire (cf. dossier TAF act. 8).</w:t>
      </w:r>
    </w:p>
    <w:p>
      <w:r>
        <w:rPr>
          <w:b/>
        </w:rPr>
        <w:t>E. 4.2</w:t>
      </w:r>
    </w:p>
    <w:p>
      <w:r>
        <w:t>Dans ces conditions, cette procédure ne doit, à l'évidence, pas être prise en compte. L'impact du classement de cette procédure sur la durée de l'interdiction d'entrée sera analysé ci-dessous (cf. consid. 10 infra).</w:t>
      </w:r>
    </w:p>
    <w:p>
      <w:r>
        <w:rPr>
          <w:b/>
        </w:rPr>
        <w:t>E. 5.1</w:t>
      </w:r>
    </w:p>
    <w:p>
      <w:r>
        <w:t>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 ATAF 2017 VII/2 consid. 4.3). En vertu de l'art. 77a al. 1 OASA,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w:t>
      </w:r>
    </w:p>
    <w:p>
      <w:r>
        <w:rPr>
          <w:b/>
        </w:rPr>
        <w:t>E. 5.2</w:t>
      </w:r>
    </w:p>
    <w:p>
      <w:r>
        <w:t>L'interdiction d'entrée au sens du droit des étrangers vise à empêcher l'entrée ou le retour d'un étranger dont le séjour en Suisse est indésirable (cf., notamment, arrêt du TF 6B_173/2013 du 19 août 2013 consid. 2.3 ; ATAF 2017 VII/2 consid. 4.4 et les réf. cit.).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 2008/24 consid. 4.2).</w:t>
      </w:r>
    </w:p>
    <w:p>
      <w:r>
        <w:rPr>
          <w:b/>
        </w:rPr>
        <w:t>E. 6</w:t>
      </w:r>
    </w:p>
    <w:p>
      <w:r>
        <w:t>Compte tenu du fait que le recourant, citoyen français, est ressortissant communautaire, il convient de vérifier si la mesure d'éloignement prononcée à son endroit est conforme à l'ALCP (RS 0142.112.681 ; cf. ATF 139 II 121 consid. 5.1 in fine ; arrêt du TF 2C_1045/2011 du 18 avril 2012 consid. 2.1 ; arrêt du TAF F-2522/2015 du 2 juin 2017 consid. 5). En vertu de l'art. 2 al. 2 LEI, cette loi n'est, en effet, applicable aux ressortissants des Etats membres de la Communauté européenne que si l'ALCP n'en dispose pas autrement ou si elle contient des dispositions plus favorables.</w:t>
      </w:r>
    </w:p>
    <w:p>
      <w:r>
        <w:rPr>
          <w:b/>
        </w:rPr>
        <w:t>E. 6.1</w:t>
      </w:r>
    </w:p>
    <w:p>
      <w:r>
        <w:t>L'ALCP ne réglemente pas en tant que telle l'interdiction d'entrée, si bien que l'art. 67 LEI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Cette disposition doit toutefois être interprétée en tenant compte des exigences spécifiques de l'ALCP, afin de ne pas priver les ressortissants européens concernés des droits que leur confère ce traité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 arrêt du TF 2C_1045/2011 précité consid. 2.1). Le cadre et les modalités de cette disposition sont déterminés par trois directives, dont la plus importante est la directive 64/221/CEE (JO 56 du 4 avril 1964 p. 850), ainsi que par la jurisprudence y relative de la Cour de Justice des Communautés européennes, devenue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consid. 5.3 ; 136 II 5 consid. 3.4 ; 130 II 1 consid. 3.6).</w:t>
      </w:r>
    </w:p>
    <w:p>
      <w:r>
        <w:rPr>
          <w:b/>
        </w:rPr>
        <w:t>E. 6.2</w:t>
      </w:r>
    </w:p>
    <w:p>
      <w:r>
        <w:t>Conformément à la jurisprudence du Tribunal fédéral en relation avec l'art. 5 Annexe I ALCP (qui s'appuie en cela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 136 II 5 consid. 4.2 et la jurisprudence citée).</w:t>
      </w:r>
    </w:p>
    <w:p>
      <w:r>
        <w:rPr>
          <w:b/>
        </w:rPr>
        <w:t>E. 6.3</w:t>
      </w:r>
    </w:p>
    <w:p>
      <w:r>
        <w:t>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respectivement de commettre de nouvelles infractions - qui est déterminant (cf. ATF 136 II 5 consid. 5.3).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consid. 5.3 ; 136 II 5 consid. 4.2 ; 134 II 25 consid. 4.3.2 ; 130 Il 493 consid. 3.3). Le Tribunal fédéral se montre particulièrement rigoureux - en suivant en cela la pratique de la Cour européenne des droits de l'homme (ci-après : la Cour EDH) - en présence, notamment, d'infractions à la législation sur les stupéfiants, d'actes de violence criminelle et d'infractions contre l'intégrité physique et sexuelle (cf., notamment, ATF 139 II 121 consid. 5.3 ; 137 II 297 consid. 3.3 ; arrêts du TF 2C_643/2014 du 13 décembre 2014 consid. 5.3 ; 2C_436/2014 consid. 3.3 ; 2C_565/2013 du 6 décembre 2013 consid. 3.5 in fine, et la jurisprudence citée). Par conséquent, pour pouvoir faire l'objet d'une interdiction d'entrée en application de l'art. 67 al. 2 let. a LEI, il faut que la personne qui est en mesure de se prévaloir de l'ALCP représente une menace d'une certaine gravité pour l'ordre et la sécurité publics de nature à le priver de son droit d'entrer en Suisse au sens de l'art. 5 Annexe I ALCP (cf., notamment, ATF 139 II 121 consid. 5.4 ; arrêt du TF 2C_862/2013 consid. 4.3 in fine).</w:t>
      </w:r>
    </w:p>
    <w:p>
      <w:r>
        <w:rPr>
          <w:b/>
        </w:rPr>
        <w:t>E. 6.4</w:t>
      </w:r>
    </w:p>
    <w:p>
      <w:r>
        <w:t>Selon l'art. 67 al. 3 1ère phrase LEI, l'interdiction d'entrée est prononcée pour une durée maximale de cinq ans. Le Tribunal fédéral a apporté une distinction, dans l'application de cette disposition, selon que la personne concernée peut ou non se prévaloir de l'ALCP (cf. ATF 139 II 121 consid. 6.1). Selon la Haute Cour, il suffit, pour interdire l'entrée en Suisse pour une durée maximale de cinq ans à un ressortissant d'un pays tiers (qui est soumis au régime ordinaire de droit interne), que celui-ci ait attenté à la sécurité et à l'ordre publics en Suisse ou à l'étranger ou qu'il les ait mis en danger (palier I), alors que, pour interdire l'entrée en Suisse pour une durée maximale de cinq ans à une personne au bénéfice de l'ALCP (qui est soumise à un régime plus favorable), l'autorité doit au préalable vérifier que cette personne représente une « menace d'une certaine gravité » pour l'ordre et la sécurité publics, soit une menace qui dépasse la simple atteinte ou mise en danger de la sécurité et de l'ordre publics (palier I bis ; cf. ATF 139 II 121 consid. 6.1 ; sur cette question, cf. également l'arrêt du TAF F-2922/2015 du 11 août 2017 consid. 4.5).</w:t>
      </w:r>
    </w:p>
    <w:p>
      <w:r>
        <w:rPr>
          <w:b/>
        </w:rPr>
        <w:t>E. 6.5</w:t>
      </w:r>
    </w:p>
    <w:p>
      <w:r>
        <w:t>En vertu de l'art. 67 al. 3 2ème phrase LEI, l'interdiction d'entrée peut être prononcée pour une durée plus longue lorsque la personne constitue une menace grave pour la sécurité et l'ordre publics. Le cas échéant, elle ne saurait toutefois dépasser quinze ans ou, en cas de récidive, vingt ans (cf. ATAF 2014/20 consid. 7).</w:t>
      </w:r>
    </w:p>
    <w:p>
      <w:r>
        <w:rPr>
          <w:b/>
        </w:rPr>
        <w:t>E. 6.6</w:t>
      </w:r>
    </w:p>
    <w:p>
      <w:r>
        <w:t>Selon la jurisprudence du Tribunal fédéral, la « menace grave » au sens de l'art. 67 al. 3 2ème phrase LEI représente un palier supplémentaire dans la gradation (palier II), en ce sens qu'elle doit s'interpréter comme requérant un degré de gravité qui soit non seulement supérieur à la simple atteinte ou menace à la sécurité et à l'ordre publics (palier I), mais également à la « menace d'une certaine gravité » (palier I bis) nécessaire pour éloigner un ressortissant d'un Etat partie à l'ALCP (cf. ATF 139 II 121 consid. 6.2 et 6.3). Elle présuppose l'existence d'une « menace caractérisée »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7.1</w:t>
      </w:r>
    </w:p>
    <w:p>
      <w:r>
        <w:t>En l'occurrence, l'autorité inférieure s'est fondée sur les sept condamnations pénales de l'intéressé, dont six sont encore inscrites dans son casier judiciaire, prononcées par les autorités suisses entre mai 2011 et décembre 2018 (cf. extrait du casier judiciaire du 28 juin 2021, dossier TAF act. 37 pce 29 et dossier Symic pp. 1-3). Elle a également pris en compte une enquête pénale en cours depuis le 18 juin 2018 auprès du Ministère public de l'arrondissement de l'Est vaudois pour escroquerie. L'autorité intimée a alors relevé que ces actes délictueux démontraient l'incapacité de l'intéressé à respecter l'ordre et la sécurité publics. Elle a retenu un risque de récidive et exclu un pronostic favorable pour l'avenir. Dans ces conditions, le SEM a retenu que l'intéressé représentait une menace grave, réelle et actuelle pour l'ordre et la sécurité publics.</w:t>
      </w:r>
    </w:p>
    <w:p>
      <w:r>
        <w:rPr>
          <w:b/>
        </w:rPr>
        <w:t>E. 7.2</w:t>
      </w:r>
    </w:p>
    <w:p>
      <w:r>
        <w:t>Le recourant, pour sa part, a fait valoir que la quotité des condamnations dont il a fait l'objet était faible. Selon lui, les biens juridiques touchés étaient mineurs ou secondaires. Il a aussi souligné que le SEM avait faussement retenu que l'enquête pour escroquerie était toujours en cours.</w:t>
      </w:r>
    </w:p>
    <w:p>
      <w:r>
        <w:rPr>
          <w:b/>
        </w:rPr>
        <w:t>E. 8</w:t>
      </w:r>
    </w:p>
    <w:p>
      <w:r>
        <w:t>Il s'agit donc d'examiner, tout d'abord, si le prononcé d'une interdiction d'entrée à l'encontre du recourant se justifiait dans son principe.</w:t>
      </w:r>
    </w:p>
    <w:p>
      <w:r>
        <w:rPr>
          <w:b/>
        </w:rPr>
        <w:t>E. 8.1</w:t>
      </w:r>
    </w:p>
    <w:p>
      <w:r>
        <w:t>Dans le cas d'espèce, le recourant a fait l'objet de sept condamnations pénales par les autorités suisses entre 2011 et 2018 (cf. let. A supra). L'intéressé a ainsi violé des dispositions de la LEI/LEtr, de la LCR, de la LArm, de la LAVS, de la LAA et de la LPP. Il a également été condamné pour usure et vol. En particulier, en conduisant un véhicule automobile avec un taux d'alcool qualifié dans le sang (cf. la condamnation du 18 août 2014 figurant sur l'extrait du casier judiciaire du recourant dossier Symic p. 3), l'intéressé a mis en danger l'intégrité physique, voire même la vie, des autres usagers de la route (cf. ATF 139 II 121 consid. 5.5.1 ; arrêt du TF 2C_344/2016 du 6 septembre 2016 consid. 5.1 ; arrêt du TAF F-5462/2018 du 18 avril 2020 consid. 7.5.1). Aussi, l'intéressé a été condamné à deux reprises pour des activités lucratives sans autorisation. Or, selon la jurisprudence constante du Tribunal, le fait de travailler en Suisse sans autorisation représente une violation grave des prescriptions de police des étrangers (cf. arrêt du 7 novembre 2019 TAF F-1640/2018 consid. 8.2). En principe, un séjour ou une activité lucrative exercés sans autorisation par un bénéficiaire de l'ALCP ne peut être illicite de ce seul fait et une condamnation pénale ne pourra donc être prononcée au seul motif que le ressortissant d'un Etat de l'UE ne dispose pas d'une autorisation de séjour formelle, s'il remplit les conditions selon l'ALCP pour l'octroi d'une telle autorisation (ATF 135 IV 57 consid. 4 ; arrêts du TAF F-4042/2019 du 17 août 2020 consid. 7.2 et F-1143/2019 du 20 janvier 2021 consid. 8.5). Il n'en demeure pas moins que le recourant a été condamné pénalement les 26 mai 2011 et 25 janvier 2016 pour activité lucrative sans autorisation à des peines pécuniaires.</w:t>
      </w:r>
    </w:p>
    <w:p>
      <w:r>
        <w:rPr>
          <w:b/>
        </w:rPr>
        <w:t>E. 8.2</w:t>
      </w:r>
    </w:p>
    <w:p>
      <w:r>
        <w:t>S'il est vrai que l'intéressé n'a pas commis d'infractions à la législation fédérale sur les stupéfiants, d'actes de violence criminelle et d'infractions contre l'intégrité physique ou sexuelle, qui constituent des domaines où le Tribunal fédéral et la Cour EDH sont particulièrement rigoureux (cf. consid. 5.3 supra), il a tout de même mis en danger, à une reprise, l'intégrité physique des autres usagers de la route (cf. la condamnation du 18 août 2014 ; cf. ATF 139 II 121 consid. 5.5.1 ; arrêt du TAF F-1410/2019 du 25 mars 2021 consid. 7.2.2). Il convient en outre de relever qu'il a démontré, par son comportement multirécidiviste déployé des années durant et encore récemment, son incapacité à respecter l'ordre juridique suisse. Les différentes condamnations à des peines pécuniaires, des amendes et même une peine privative de liberté n'ont, en effet, pas suffi à lui faire adopter un comportement adéquat. Dans ces circonstances, le Tribunal ne peut que constater que le recourant a violé de manière importante et répétée des prescriptions légales ayant été édictées dans le but de maintenir la sécurité et l'ordre publics (cf. art. 67 al. 2 let. a LEI, en relation avec l'art. 77a al. 1 OASA) et ne saurait exclure un risque de récidive. Ainsi, au vu du nombre significatif de condamnations pénales prononcées à l'encontre de l'intéressé, dont la dernière remonte à décembre 2018, et au regard de sa propension indéniable à la récidive, il y a lieu d'admettre que le recourant constitue bien une menace réelle et suffisamment grave pour l'ordre et la sécurité publics au sens de l'art. 5 par. 1 Annexe I ALCP et de la jurisprudence y relative.</w:t>
      </w:r>
    </w:p>
    <w:p>
      <w:r>
        <w:rPr>
          <w:b/>
        </w:rPr>
        <w:t>E. 8.3</w:t>
      </w:r>
    </w:p>
    <w:p>
      <w:r>
        <w:t>Sur le principe, l'interdiction d'entrée en Suisse prononcée par le SEM le 21 novembre 2019 à l'encontre de l'intéressé apparaît donc fondée, tant du point de vue du droit interne qu'à la lumière du droit communautaire.</w:t>
      </w:r>
    </w:p>
    <w:p>
      <w:r>
        <w:rPr>
          <w:b/>
        </w:rPr>
        <w:t>E. 9</w:t>
      </w:r>
    </w:p>
    <w:p>
      <w:r>
        <w:t>A ce stade, il convient d'examiner si, au moment où l'autorité inférieure a statué, le recourant représentait, à la lumière de la deuxième phrase de l'art. 67 al. 3 LEI, une menace suffisamment grave pour la sécurité et l'ordre publics pour justifier le prononcé d'une mesure d'éloignement allant au-delà de la durée maximale de cinq ans prévue à la première phrase de l'art. 67 al. 3 LEI.</w:t>
      </w:r>
    </w:p>
    <w:p>
      <w:r>
        <w:rPr>
          <w:b/>
        </w:rPr>
        <w:t>E. 9.1</w:t>
      </w:r>
    </w:p>
    <w:p>
      <w:r>
        <w:t>Le recourant a estimé que la durée de l'interdiction d'entrée de six ans était excessive et qu'elle était disproportionnée (cf. courrier du recourant du 1er août 2020 p. 3, dossier TAF act. 22). Il a, à ce propos, fait valoir ses attaches avec la Suisse. Notamment, il a indiqué qu'il venait régulièrement dans ce pays avec sa famille, comptant une cinquantaine de personnes, ainsi qu'avec la communauté des gens du voyage, depuis son enfance entre les mois de mars et de novembre. Il s'est aussi prévalu du fait qu'il avait ouvert, en 2018, une entreprise active dans la rénovation de façades, volets, boiseries et toitures, entreprise qui avait toutefois dû fermer en 2019 pour cessation d'activité (cf. dossier TAF act. 34 et 37). Par ailleurs, le recourant a informé qu'il aidait sa mère invalide à travailler sur les marchés en Suisse (cf. dossier TAF act. 22).</w:t>
      </w:r>
    </w:p>
    <w:p>
      <w:r>
        <w:rPr>
          <w:b/>
        </w:rPr>
        <w:t>E. 9.2</w:t>
      </w:r>
    </w:p>
    <w:p>
      <w:r>
        <w:t>Le SEM a notamment fondé son interdiction d'entrée sur les sept condamnations prononcées à l'encontre du recourant. Les infractions qui lui sont reprochées sont d'une certaine gravité et l'intéressé a régulièrement occupé les autorités pénales, surtout entre les années 2016 et 2018. Compte tenu de la nature des infractions commises par le recourant et des biens juridiques atteints, dont une bonne partie relève de la protection du patrimoine et de l'observation du droit des étrangers (cf. arrêt du TF 2C_173/2019 du 31 juillet 2019), et, dans une moindre mesure, du fait qu'il n'a plus commis d'acte répréhensible en Suisse depuis sa dernière condamnation de décembre 2018, le Tribunal considère toutefois que l'on ne saurait, en l'état, conclure, à l'existence d'une "menace caractérisée" pour la sécurité et l'ordre publics (au sens de l'art. 67 al. 3 2ème phrase LEI et de la jurisprudence y relative) susceptible de justifier le prononcé d'une mesure d'éloignement d'une durée supérieure à cinq ans.</w:t>
      </w:r>
    </w:p>
    <w:p>
      <w:r>
        <w:rPr>
          <w:b/>
        </w:rPr>
        <w:t>E. 9.3</w:t>
      </w:r>
    </w:p>
    <w:p>
      <w:r>
        <w:t>En conséquence, la décision du SEM, prononcée le 21 novembre 2019 pour une durée de six ans, consacre une violation de l'art. 67 al. 3 2e phrase LEI. Les effets de l'interdiction d'entrée querellée ne sauraient donc s'étendre au-delà d'une durée de cinq ans, soit jusqu'au 20 novembre 2024.</w:t>
      </w:r>
    </w:p>
    <w:p>
      <w:r>
        <w:rPr>
          <w:b/>
        </w:rPr>
        <w:t>E. 10</w:t>
      </w:r>
    </w:p>
    <w:p>
      <w:r>
        <w:t>Il reste à déterminer la durée adéquate de cette mesure d'éloignement, telle que ramenée au niveau du palier I bis, conformément aux principes de proportionnalité (art. 5 al. 2 Cst. et art. 36 al. 3 Cst.) et d'égalité de traitement (art. 8 al. 1 Cst.).</w:t>
      </w:r>
    </w:p>
    <w:p>
      <w:r>
        <w:rPr>
          <w:b/>
        </w:rPr>
        <w:t>E. 10.1</w:t>
      </w:r>
    </w:p>
    <w:p>
      <w:r>
        <w:t>Lorsque l'autorité administrative prononce une interdiction d'entrée, elle doit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sur l'ensemble de ces questions, cf. ATF 140 I 168 consid. 4.2.1, 136 IV 97 consid. 5.2.2, et la jurisprudence citée). L'exigence de proportionnalité à laquelle doivent satisfaire les mesures étatiques (telles les mesures d'éloignement), qui découle notamment de l'art. 96 al. 1 LEI, est aussi applicable dans les domaines régis par l'ALCP (cf. arrêts du TF précités 2C_436/2014 consid. 4.1, 2C_121/2014 consid. 5.1, et jurispr. cit.). La détermination de la durée d'une interdiction d'entrée dans un cas concret doit tenir compte, en particulier, de l'importance des biens juridiques menacés et des intérêts privés concernés (cf. ATAF 2014/20 consid. 8.2 et 8.3).</w:t>
      </w:r>
    </w:p>
    <w:p>
      <w:r>
        <w:rPr>
          <w:b/>
        </w:rPr>
        <w:t>E. 10.2</w:t>
      </w:r>
    </w:p>
    <w:p>
      <w:r>
        <w:t>Dans le cas d'espèce, le recourant a fait l'objet de multiples condamnations pénales en Suisse (cf. let. A supra). S'il est ardu d'établir un pronostic concret sur le moment auquel la présence en Suisse de l'intéressé ne représentera plus une menace réelle et d'une certaine gravité affectant un intérêt fondamental de la société, force est de constater que l'intéressé a fait preuve d'un comportement contraire à l'ordre juridique suisse et d'une incapacité à se conformer à celui-ci, malgré les nombreuses sanctions pénales qui lui ont été infligées. Le comportement adopté par l'intéressé justifie une intervention des autorités. Au vu de l'activité délictuelle répétée déployée en Suisse entre 2011 et 2018 et du risque de récidive, il existe un intérêt public indéniable à le tenir éloigné de Suisse pendant une période relativement longue. Si le recourant a certes, majoritairement, commis des infractions contre le patrimoine, elles ne se sont toutefois pas limitées à ce seul bien juridique protégé (cf. consid. 8.1 supra ; arrêt du TF 2C_173/2019 du 31 juillet 2019). On relèvera encore que le recourant a visé des personnes particulièrement vulnérables, à savoir une dame âgée de 89 ans et une autre âgée de 84 ans, malvoyante et sourde (cf. ordonnances pénales des 20 octobre et 25 janvier 2016, dossier TAF act. 8). De plus, le fait que l'intéressé semble s'être bien comporté depuis sa dernière condamnation de décembre 2018 n'amène pas encore le Tribunal à considérer que celui-ci ne représenterait plus une menace pour l'ordre et la sécurité publics en Suisse, au vu du grand nombre d'infractions commises sur de plusieurs années. En revanche, il convient de ne pas tenir compte de la procédure pénale pour escroquerie, dès lors que celle-ci a été classée (cf. consid. 4 supra).</w:t>
      </w:r>
    </w:p>
    <w:p>
      <w:r>
        <w:rPr>
          <w:b/>
        </w:rPr>
        <w:t>E. 10.3</w:t>
      </w:r>
    </w:p>
    <w:p>
      <w:r>
        <w:t>S'agissant des éléments qui plaident en faveur du recourant, il s'impose de relever que celui-ci vient en Suisse avec sa famille et la communauté des gens du voyage depuis son enfance entre les mois de mars et novembre (cf. dossier TAF act. 34). Par ailleurs, le recourant a régulièrement exercé des activités lucratives en Suisse et y a, notamment, été autorisé à plusieurs reprises à exercer l'activité de commerçant itinérant (cf. dossier TAF act. 22 pce 24). Il a donc un intérêt certain à pouvoir entrer en Suisse, ce d'autant plus qu'il assiste sa mère invalide à travailler sur les marchés (cf. dossier TAF act. 22 pce 21).</w:t>
      </w:r>
    </w:p>
    <w:p>
      <w:r>
        <w:rPr>
          <w:b/>
        </w:rPr>
        <w:t>E. 10.4</w:t>
      </w:r>
    </w:p>
    <w:p>
      <w:r>
        <w:t>Il convient aussi, dans le présent cas, de tenir spécifiquement compte du mode de vie du recourant, lequel fait partie de la communauté des gens du voyage. Or, une frange importante de cette communauté a un mode de vie qui peut être caractérisé de semi-nomade. La tradition d'itinérance (ou nomadisme) demeure une composante essentielle de l'identité culturelle tzigane, intrinsèquement liée à l'exercice de leurs différentes activités professionnelles. Traditionnellement, les gens du voyage exercent des métiers dans les domaines de la récupération (achat d'antiquités, recyclage, collecte de vieux métal, etc.), du commerce forain et de l'artisanat ambulant (aiguisage, vannerie, rétamage, etc.), quand bien même leur champ d'activité ne saurait se limiter à ces seuls domaines (cf. ATF 138 I 205 consid. 4, également sous l'angle des art. 8 al. 1 et 2 Cst. [discrimination indirecte] ; Joëlle Sambuc Bloise, La situation juridique des Tziganes en Suisse, 2007, p. 67). Dans sa pratique, la Cour EDH a admis qu'il appartenait aux autorités de prendre en considération l'appartenance à une minorité ethnique ou à un groupe menant un mode de vie distinct de celui de la population majoritaire. En effet, un consensus international se faisait jour au sein des Etats membres du Conseil de l'Europe pour reconnaître les besoins particuliers des minorités et l'obligation de protéger leur sécurité, leur identité et leur mode de vie, et ce non seulement dans le but de protéger les intérêts des minorités elles-mêmes mais aussi pour préserver la diversité culturelle qui est bénéfique à la société dans son ensemble. Même si l'appartenance à une minorité ne dispense pas de respecter les lois destinées à protéger le bien commun, la Cour EDH a considéré que l'art. 8 CEDH conférait aux membres d'une minorité le droit à ce que les autorités prennent en considération leurs besoins spécifiques en raison de leur vulnérabilité en tant que membres de cette minorité, tant dans le cadre réglementaire que lors de la prise de décision dans un cas particulier (arrêts de la Cour EDH Chapman c. Royaume-Uni, du 18 janvier 2001, req. 27238/95, par. 93, 94 et 96 ; Connors c. Royaume-Uni, du 27 mai 2004, req. 66746/01, par. 84 ; D.H. et autres c. République tchèque [GC], du 13 novembre 2007, req. 57325/00, par. 181 ; ATF 138 I 205 consid. 5.3).</w:t>
      </w:r>
    </w:p>
    <w:p>
      <w:r>
        <w:rPr>
          <w:b/>
        </w:rPr>
        <w:t>E. 10.5</w:t>
      </w:r>
    </w:p>
    <w:p>
      <w:r>
        <w:t>Enfin, en tant que ressortissant français au bénéfice des droits conférés par l'ALCP, le recourant pourrait venir en Suisse pour y exercer une activité lucrative, sans devoir requérir au préalable la délivrance d'une autorisation de la part des autorités cantonales compétentes. En effet, l'autorisation délivrée sur la base de l'ALCP en vue de l'exercice d'une activité économique n'a qu'une portée déclaratoire et ne fait donc que constater l'existence d'un droit d'accès à une telle activité (cf. ATF 136 II 329 consid. 2.2 ; ATAF 2013/35 consid. 4.1 ; arrêt du TAF F-4042/2019 du 17 août 2020 consid. 7.2 et les réf. cit.). Les ressortissants européens, désirant s'établir durablement en Suisse pour y exercer une activité lucrative, n'ont qu'une obligation de s'annoncer auprès des autorités cantonales compétentes (cf. art. 2 par. 4 Annexe I ALCP et art. 9 et 26 OLCP ; voir aussi à ce sujet les Directives SEM concernant l'ordonnance sur la libre circulation des personnes [Directives OLCP], version de janvier 2021, pp 17 sv, accessibles sur le site du SEM : www.sem.admin.ch sous Publications &amp; services Directives et circulaires II. Accord sur la libre circulation des personnes, site consulté en juillet 2021). Par ailleurs, un ressortissant UE/AELE peut en principe exercer une activité lucrative en Suisse pendant une durée maximale de trois mois ou 90 jours par année civile par le biais de la procédure d'annonce (art. 9 OLCP ; cf. aussi Directives OLCP précitées, pp. 27-28). Ainsi, l'interdiction d'entrée litigieuse empêche l'intéressé d'exercer son droit à la libre circulation, soit celui de venir s'établir en Suisse pour y exercer une activité lucrative, respectivement celui d'exercer une activité lucrative en Suisse pendant une durée maximale de trois mois.</w:t>
      </w:r>
    </w:p>
    <w:p>
      <w:r>
        <w:rPr>
          <w:b/>
        </w:rPr>
        <w:t>E. 10.6</w:t>
      </w:r>
    </w:p>
    <w:p>
      <w:r>
        <w:t>En conséquence, après une pondération des intérêts publics et privés en présence et au regard de l'ensemble des circonstances du cas d'espèce et, en particulier, du classement de la procédure pénale pour escroquerie, le Tribunal considère que la durée de l'interdiction d'entrée querellée doit être fixée à quatre ans. Cette durée correspond en outre à celle retenue dans des cas similaires (cf., à titre d'exemple, arrêt du TAF F-4148/2018 du 23 mai 2019, lequel avait réduit la durée d'une interdiction d'entrée à 4 ans à l'encontre d'un ressortissant espagnol condamné à dix reprises mais qui pouvait se prévaloir d'une présence de près de 20 ans en Suisse au bénéfice d'un titre de séjour ainsi que de la présence de ses 4 enfants).</w:t>
      </w:r>
    </w:p>
    <w:p>
      <w:r>
        <w:rPr>
          <w:b/>
        </w:rPr>
        <w:t>E. 10.7</w:t>
      </w:r>
    </w:p>
    <w:p>
      <w:r>
        <w:t>Le recours est en conséquence partiellement admis et la décision querellée est réformée, en ce sens qu'elle prendra fin le 20 novembre 2023. Pour le surplus, il est rejeté.</w:t>
      </w:r>
    </w:p>
    <w:p>
      <w:r>
        <w:rPr>
          <w:b/>
        </w:rPr>
        <w:t>E. 10.8</w:t>
      </w:r>
    </w:p>
    <w:p>
      <w:r>
        <w:t>Dans la mesure où il a été statué sur le fond du recours, la requête du 30 avril 2021 visant à la restitution de l'effet suspensif à titre de mesures provisionnelles est devenue sans objet, étant par ailleurs souligné que cette question avait déjà été tranchée une première fois par le Tribunal par décision incidente du 26 juin 2020 (dossier TAF act. 16).</w:t>
      </w:r>
    </w:p>
    <w:p>
      <w:r>
        <w:rPr>
          <w:b/>
        </w:rPr>
        <w:t>E. 11.1</w:t>
      </w:r>
    </w:p>
    <w:p>
      <w:r>
        <w:t>Dès lors que le recourant n'obtient que partiellement gain de cause, des frais de procédure réduits doivent être mis à sa charge (cf. art. 63 al. 1 2ème phrase PA, en relation avec les art. 1 ss du règlement du 21 février 2008 concernant les frais, dépens et indemnité fixés par le Tribunal administratif fédéral [FITAF ; RS 173.320.2]). Sur l'avance de frais de Fr. 1'500.- versée par l'intéressé le 22 juin 2020, un montant de Fr. 500.- lui sera restitué par la Caisse du Tribunal à l'entrée en force du présent arrêt.</w:t>
      </w:r>
    </w:p>
    <w:p>
      <w:r>
        <w:rPr>
          <w:b/>
        </w:rPr>
        <w:t>E. 11.2</w:t>
      </w:r>
    </w:p>
    <w:p>
      <w:r>
        <w:t>Obtenant partiellement gain de cause, il convient également d'accorder au recourant des dépens réduits (cf. art. 64 al. 1 PA en relation avec l'art. 7 al. 2 FITAF). Le mandataire a fait valoir des prétentions de Fr. 4'000.- pour couvrir ses frais mais n'a pas produit un décompte de ses prestations. Partant, le Tribunal fixera les dépens sur la base du dossier (art. 14 al. 2 FITAF). Au vu de l'ensemble des circonstances du cas, de l'ampleur du travail accompli par la mandataire, c'est-à-dire un mémoire de recours de huit pages (dossier TAF act. 1) et neuf courriers subséquents de 1 à 4 pages (dossier TAF act. 14, 22, 29, 34, 37, 39 et 41), et du fait que l'intéressé n'obtient que partiellement gain de cause, un montant de Fr. 2'000.-, TVA comprise, apparaît comme équitable pour indemniser le travail accompli. Dès lors que le recourant n'obtient que partiellement gain de cause, seul un montant de Fr. 700.- lui sera versé par l'autorité inférieure à titre de dépens réduits.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