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F-2362/2017 vom 6. Februar 2019</w:t>
      </w:r>
    </w:p>
    <w:p>
      <w:r>
        <w:t>Bundesverwaltungsgericht, 2019-02-06, DE</w:t>
      </w:r>
    </w:p>
    <w:p>
      <w:r>
        <w:rPr>
          <w:b/>
        </w:rPr>
        <w:t xml:space="preserve">Quelle: </w:t>
      </w:r>
      <w:r>
        <w:t>https://mcp.opencaselaw.ch/entscheid/bvger_F-2362_2017</w:t>
      </w:r>
    </w:p>
    <w:p>
      <w:r>
        <w:t>FR: TAF F-2362/2017 du 6 février 2019</w:t>
      </w:r>
    </w:p>
    <w:p>
      <w:r>
        <w:t>IT: TAF F-2362/2017 del 6 febbraio 2019</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seiner Rechtsmitteleingabe in formeller Hinsicht die Verletzung seines Anspruchs auf rechtliches Gehör und macht geltend, das SEM habe nicht alle entscheidwesentlichen Sachverhaltselemente in seinen Erwägungen berücksichtigt und zutreffend gewürdigt. Namentlich sei die Vorinstanz mit keinem Wort auf seinen Einwand eingegangen, wonach sein Neffe, mit welchem er gemeinsam aus Syrien ausgereist und in die Schweiz gereist sei, als Staatenloser anerkannt worden sei.</w:t>
      </w:r>
    </w:p>
    <w:p>
      <w:r>
        <w:rPr>
          <w:b/>
        </w:rPr>
        <w:t>E. 3.2</w:t>
      </w:r>
    </w:p>
    <w:p>
      <w:r>
        <w:t>Der in Art. 29 Abs. 2 BV verankerte Grundsatz des Anspruchs auf rechtliches Gehör wird für das Verwaltungsverfahren in den Art. 29 ff. VwVG statuiert und präzisiert (vgl. Waldmann/Bickel, in: Praxiskommentar VwVG, 2. Aufl. 2016, Art. 29 N. 6). Der Grundsatz des rechtlichen Gehörs dient einerseits der Sachaufklärung und andererseits stellt er ein persönlichkeitsbezogenes Mitwirkungsrecht dar (vgl. Waldmann/Bickel, a.a.O., Art. 29 N. 21 ff; Kölz/Häner/Bertschi, Verwaltungsverfahren und Verwaltungsrechtspflege des Bundes, 3. Aufl. 2013, N. 214). Vorliegend wird eine Verletzung des Anspruchs auf rechtliches Gehör gerügt in seiner Funktion als Mittel zur Sachaufklärung im Sinne, dass das SEM - wie oben erwähnt - nicht auf die Anerkennung der Staatenlosigkeit des mitreisenden Neffen eingegangen sei.</w:t>
      </w:r>
    </w:p>
    <w:p>
      <w:r>
        <w:rPr>
          <w:b/>
        </w:rPr>
        <w:t>E. 3.3</w:t>
      </w:r>
    </w:p>
    <w:p>
      <w:r>
        <w:t>In seiner Vernehmlassung vom 7. Juni 2017 hat das SEM darauf hingewiesen, es habe vor seinem Entscheid nicht nur das Dossier des Bruders (vgl. N [...]), sondern auch dasjenige des Neffen des Beschwerdeführers (vgl. N [...]) zur Feststellung des rechtserheblichen Sachverhalts beigezogen. Die Fälle seien aber schon deshalb nicht miteinander vergleichbar, weil der Bruder bereits vor Erlass des Dekrets sein Heimatland verlassen habe und der Neffe in seinem Gesuch um Anerkennung der Staatenlosigkeit - im Gegensatz zum Beschwerdeführer - nicht geltend gemacht habe, Ajnabi zu sein. Die Vorinstanz, die jedes Gesuch um Anerkennung der Staatenlosigkeit im Einzelfall prüft, hatte somit keine Veranlassung, näher auf besagten Einwand einzugehen. Abgesehen davon bezieht sich der Anspruch auf rechtliches Gehör ohnehin nur auf entscheidrelevante Parteivorbringen. Nicht erforderlich ist hingegen, dass sich der Entscheid mit allen Parteistandpunkten einlässlich auseinandersetzt und jedes einzelne Vorbringen widerlegt (vgl. BGE 134 I 83 E. 4.1 m.H.) Eine Verletzung des Anspruchs auf rechtliches Gehör liegt somit nicht vor.</w:t>
      </w:r>
    </w:p>
    <w:p>
      <w:r>
        <w:rPr>
          <w:b/>
        </w:rPr>
        <w:t>E. 4.1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4.2</w:t>
      </w:r>
    </w:p>
    <w:p>
      <w:r>
        <w:t>Gemäss bundesgerichtlicher Rechtsprechung kann eine Person nur dann als staatenlos angesehen werden, wenn sie sich das Fehlen der Staatsangehörigkeit nicht zurechnen lassen muss. Dies ist der Fall, wenn sie noch nie über eine Staatsangehörigkeit verfügt beziehungsweise eine frühere ohne ihr Zutun verloren hat oder wenn es ihr nicht möglich ist, eine Staatsangehörigkeit zu erwerben beziehungsweise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(vgl. Urteile des BGer 2C_36/2012 E. 3.2 m.H., 2C_763/2008 vom 26. März 2009 E. 3.2 m.H.; vgl. zum Ganzen BVGE 2014/5).</w:t>
      </w:r>
    </w:p>
    <w:p>
      <w:r>
        <w:rPr>
          <w:b/>
        </w:rPr>
        <w:t>E. 4.3</w:t>
      </w:r>
    </w:p>
    <w:p>
      <w:r>
        <w:t>Das Verfahren zur Anerkennung der Staatenlosigkeit ist im schweizerischen Recht nicht spezialgesetzlich geregelt und daher nach den allgemeinen verwaltungsrechtlichen Grundsätzen zu führen.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 die Parteien selbst einleiten beziehungsweise in welchen sie selbständige Begehren stellen (Art. 13 Abs. 1 Bst. a und Bst. b VwVG). Sie erstreckt sich insbesondere auf Tatsachen, die eine Partei besser kennt als die Behörden und die diese ohne deren Mitwirkung gar nicht oder nicht mit vernünftigem Aufwand erheben können (vgl. BGE 143 II 425 E. 5.1 m.H.).</w:t>
      </w:r>
    </w:p>
    <w:p>
      <w:r>
        <w:rPr>
          <w:b/>
        </w:rPr>
        <w:t>E. 5.1</w:t>
      </w:r>
    </w:p>
    <w:p>
      <w:r>
        <w:t>Der Beschwerdeführer macht geltend, er sei Kurde und stamme aus Qamishli (Provinz al-Hasaka). Er besitze die syrische Staatsangehörigkeit nicht, sei er doch ein Ajnabi (als Ausländer registrierter Kurde). Vor der Ausreise aus Syrien im August 2015 sei es ihm nicht möglich beziehungsweise zumutbar gewesen, eine Staatsangehörigkeit zu erwerben. Zum einen habe er lange Zeit nicht gewusst, dass man sich seit 2011 als Ajnabi habe einbürgern lassen können. Zum andern habe er Angst gehabt, zwangsrekrutiert und für das Regierungsregime von Assad in den Krieg geschickt zu werden. Zudem sei der Weg von seinem Wohnort Qamishli nach al-Hasaka zu jener Zeit derart gefährlich gewesen, dass er diesen Weg für ein Einbürgerungsgesuch verständlicherweise nicht auf sich habe nehmen wollen.</w:t>
      </w:r>
    </w:p>
    <w:p>
      <w:r>
        <w:rPr>
          <w:b/>
        </w:rPr>
        <w:t>E. 5.2</w:t>
      </w:r>
    </w:p>
    <w:p>
      <w:r>
        <w:t>In der Provinz al-Hasaka im Nordosten von Syrien wurde nach einer aussergewöhnlichen Volkszählung im Jahr 1962 Teilen der kurdischen Bevölkerung die syrische Staatsbürgerschaft entzogen. Schätzungen zufolge - verlässliche Zahlen existieren nicht - gab es 2008 in der Provinz rund 300'000 Personen, welche nicht über die syrische Staatsangehörigkeit verfügten, wobei rund die Hälfte als Ausländer (Ajanib) bei den Behörden registriert war. Diese Zahl ist in der Zwischenzeit deutlich gesunken (vgl. Urteil des BVGer D-760/2015 vom 1. Dezember 2015 E. 5.2). Das Dekret Nr. 49 vom 7. April 2011 des syrischen Präsidenten Baschar al-Assad gewährt nämlich denjenigen Ajanib, die - wie der Beschwerdeführer - in der syrischen Provinz al-Hasaka registriert sind, in formeller Hinsicht die syrisch-arabische Staatsangehörigkeit (Art. 1) und beauftragt das Innenministerium mit der Umsetzung (Art. 2; zur Anwendbarkeit des Dekrets auf die ge-samte Provinz und teilweise sogar darüber hinaus siehe Urteil des BVGer E-3562/2013 vom 17. Dezember 2014 E. 5.3.2 m.H.). Somit ist davon auszugehen, dass Ajanib aus der Provinz al-Hasaka durch das Dekret grundsätzlich Zugang zur syrisch-arabischen Staatsangehörigkeit haben (vgl. BVGE 2014/5 E. 11.2 m.H.).</w:t>
      </w:r>
    </w:p>
    <w:p>
      <w:r>
        <w:rPr>
          <w:b/>
        </w:rPr>
        <w:t>E. 5.3</w:t>
      </w:r>
    </w:p>
    <w:p>
      <w:r>
        <w:t>Auf der Basis des Dekretes Nr. 49 ist bereits bis ins Jahr 2012 rund 70'000 Ajanib die syrische Staatsangehörigkeit erteilt worden (vgl. dazu UNHCR, Statistical Yearbook 2011 - Annex). Gemäss UNHCR dürfte es im Jahre 2013 noch rund 160'000 syrische Staatenlose kurdischer Herkunft gegeben haben (vgl. UNHCR, Statistical Yearbook 2013 - Annex), wobei nur eine Minderheit zu den Ajanib oder den sogenannten Maktumin (Kurden ohne offiziellen Status) zählt (siehe hierzu Urteile des BVGer C-1873/2013 vom 9. Mai 2014 [nicht in BVGE 2014/5 publizierte E. 5.2] oder D-760/2015 E. 5.2).</w:t>
      </w:r>
    </w:p>
    <w:p>
      <w:r>
        <w:rPr>
          <w:b/>
        </w:rPr>
        <w:t>E. 5.4</w:t>
      </w:r>
    </w:p>
    <w:p>
      <w:r>
        <w:t>Personen ohne Staatsangehörigkeit sind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aus unzureichenden Gründen ablehnen, eine Staatsangehörigkeit (wieder) zu erwerben. Demnach kann in Anwendung der bundesgerichtlichen Rechtsprechung nur die Person syrisch-kurdischer Herkunft aus der Provinz al-Hasaka als staatenlos im Sinne von Art. 1 Abs. 1 StÜ angesehen werden, die sich aus triftigen Gründen weigert, von der Möglichkeit zum Erwerb der syrischen Staatsangehörigkeit Gebrauch zu machen. Als triftig werden nur objektive Gründe anerkannt; eine rein subjektive Motivation, die Schritte zum (Wieder-)Erwerb der Staatsangehörigkeit nicht unternehmen zu wollen, ist dagegen in der Regel als Ausdruck persönlicher Präferenzen anzusehen und fällt als triftiger Grund ausser Betracht (BVGE 2014/5 E. 11.3 und 11.4).</w:t>
      </w:r>
    </w:p>
    <w:p>
      <w:r>
        <w:rPr>
          <w:b/>
        </w:rPr>
        <w:t>E. 6.1</w:t>
      </w:r>
    </w:p>
    <w:p>
      <w:r>
        <w:t>Nachfolgend ist zu prüfen, ob der Beschwerdeführer die syrische Staatsangehörigkeit erworben hat beziehungsweise triftige Gründe für den Nichterwerb der Staatsangehörigkeit vor seiner Ausreise aus Syrien, die im August 2015 erfolgte, geltend machen kann. Der Glaubhaftigkeit der entsprechenden Angaben kommt dabei entscheidende Relevanz zu.</w:t>
      </w:r>
    </w:p>
    <w:p>
      <w:r>
        <w:rPr>
          <w:b/>
        </w:rPr>
        <w:t>E. 6.2</w:t>
      </w:r>
    </w:p>
    <w:p>
      <w:r>
        <w:t>Im Vordergrund steht hier die Frage, ob sich die betroffene Person genügend um den (Wieder-)Erwerb einer Staatsangehörigkeit bemüht hat. Die entsprechenden Hürden sind sehr hoch. Die damit verbundene restriktive Praxis rechtfertigt sich angesichts des mehrfach erwähnten übergeordneten Zieles, Staatenlosigkeit möglichst zu reduzieren. Wegen der hohen Anforderungen an die Bemühungen, die eine Person unternommen haben muss, um zu einer Staatsangehörigkeit zu gelangen, ist es gerechtfertigt, auch die Anforderungen an die triftigen Gründe für den Entscheid, dies nicht zu tun, hoch anzusetzen. Hingegen vertritt das UNHCR die Auffassung, dass das Verfahren zur Erlangung der Staatsangehörigkeit einfach und transparent sein und der (positive) Ausgang von Vornherein feststehen müsse. Verfahren, in denen der zuständigen Behörde Ermessen zukomme, erfüllten diese Anforderungen nicht, so dass die Gewährung der Rechte aus dem Staatenlosen-Übereinkommen nicht verwehrt werden dürften. Dieser Auffassung ist nicht zu folgen, steht sie doch in einem gewissen Widerspruch zum übergeordneten Ziel der Staatengemeinschaft, die Staatenlosigkeit zu reduzieren (vgl. BVGE 2014/5 E. 11.4.2 m.H.).</w:t>
      </w:r>
    </w:p>
    <w:p>
      <w:r>
        <w:rPr>
          <w:b/>
        </w:rPr>
        <w:t>E. 6.3</w:t>
      </w:r>
    </w:p>
    <w:p>
      <w:r>
        <w:t>Das Bundesverwaltungsgericht hat in den bereits erwähnten Urteilen C-1873/2013 (BVGE 2014/5) und E-3562/2013 festgehalten, dass aus Syrien stammende Personen, welche als anerkannte Flüchtlinge oder als vorläufig Aufgenommene in der Schweiz leben, trotz der theoretischen Möglichkeit zur Erlangung der syrischen Staatsbürgerschaft aufgrund des Dekretes Nr. 49 zur Zeit triftige Gründe haben können, sich in ihrem Heimatstaat nicht persönlich um den Erwerb der Staatsangehörigkeit zu bemühen und daher als staatenlos zu betrachten sind. Auf diese Praxis berufen kann sich freilich nur, wer das Land vor der Verabschiedung des besagten Dekretes verlassen und hierzulande um Schutz nachgesucht hat. Anders verhält es sich, wenn jemand - wie der Beschwerdeführer - erst Jahre nach Erlass des Dekretes aus Syrien ausgereist ist. Vor diesem Hintergrund sind die Ausführungen auf Beschwerdeebene einer Würdigung zu unterziehen.</w:t>
      </w:r>
    </w:p>
    <w:p>
      <w:r>
        <w:rPr>
          <w:b/>
        </w:rPr>
        <w:t>E. 6.4</w:t>
      </w:r>
    </w:p>
    <w:p>
      <w:r>
        <w:t>Wie angetönt (siehe E. 5.3 hiervor), hat inzwischen eine beträchtliche Anzahl der Ajanib die syrische Staatsangehörigkeit erhalten. Gemäss den Abklärungen der Vorinstanz bewegt sich die Dauer der Einbürgerungsverfahren in der Grössenordnung von vier Wochen (vgl. Urteil des BVGer F-1672/2015 vom 22. September 2016 E. 6.5). Eigenen Angaben zufolge verliess der Beschwerdeführer seinen Heimatstaat am 22. August 2015. Aufgrund des über vierjährigen Zeitfensters seit dem Erlass des Dekretes bis zu seiner Ausreise hätte der Beschwerdeführer Gelegenheit gehabt, von der Möglichkeit der Einbürgerung für Ajanib Gebrauch zu machen. Als reichlich realitätsfremd erweist sich sein Einwand, erst kurz vor seiner Ausreise aus Syrien von der Möglichkeit der Einbürgerung erfahren zu haben. Angesichts des Umstandes, dass sich seine Nachbarn einbürgern liessen oder dies zumindest versucht hatten, kann der Beschwerdeführer auch aus seinem Vorbringen, der Weg von seinem Wohnort Qamishli nach al-Hasaka sei zu jener Zeit zu gefährlich gewesen, nichts zu seinen Gunsten ableiten. Zudem gilt es mit der Vorinstanz festzuhalten, dass die Angst vor einer Rekrutierung in die Armee angesichts der damaligen (und nach wie vor anhaltenden) politischen Lage im syrischen Bürgerkrieg zwar verständlich und nachvollziehbar sei, darin jedoch kein triftiger Grund im Sinne der Rechtsprechung zum Staatenlosen-Übereinkommen zu erblicken ist, werden doch als triftig nur objektive Gründe und nicht wie beim Beschwerdeführer rein subjektive Motive anerkannt (vgl. etwa Urteil des BVGer F-7695/2016 vom 26. September 2018 E. 5.6 m.H.). Im Weiteren ist der Beschwerdeführer der Auffassung, der vorliegende Fall könne schon deshalb nicht mit dem von der Vorinstanz zitierten Urteil des BVGer F-1672/2015 verglichen werden, weil er nicht zuvor ein entsprechendes Einbürgerungsgesuch gestellt habe. Dem ist entgegen zu halten, dass es nicht angehen kann, dass jemand, der gar kein Einbürgerungsgesuch gestellt hat, unter dem Gesichtspunkt der Rechtsgleichheit besser gestellt wird, als eine Person, die bereits entsprechende Schritte unternommen hat, letztlich jedoch gescheitert ist.</w:t>
      </w:r>
    </w:p>
    <w:p>
      <w:r>
        <w:rPr>
          <w:b/>
        </w:rPr>
        <w:t>E. 6.5</w:t>
      </w:r>
    </w:p>
    <w:p>
      <w:r>
        <w:t>Soweit der Beschwerdeführer schliesslich geltend macht, die Verweigerung seiner Anerkennung als Staatenloser verstosse gegen das Rechtsgleichheitsgebot, seien doch sein Bruder sowie sein Neffe als Staatenlose anerkannt worden, verkennt er, dass sein Bruder sich bereits im Ausland befand, als das Dekret Nr. 49 erlassen wurde. Entsprechend konnte dieser weder ein Einbürgerungsgesuch persönlich vorbringen noch Ausweise persönlich entgegennehmen. Bei seinem Neffen wiederum handelt es sich - wie aus den beigezogenen N-Akten hervorgeht - nicht um einen Ajnabi, sondern um einen sogenannten "Maktum" (Pl. "Maktumin": staatenlose Kurden, die in keinem staatlichen Register geführt werden), weshalb die beiden Fälle schon aus diesem Grund nicht miteinander vergleichbar sind (vgl. auch E. 3.3 hiervor).</w:t>
      </w:r>
    </w:p>
    <w:p>
      <w:r>
        <w:rPr>
          <w:b/>
        </w:rPr>
        <w:t>E. 6.6</w:t>
      </w:r>
    </w:p>
    <w:p>
      <w:r>
        <w:t>Zusammenfassend ist festzuhalten, dass der Beschwerdeführer die Voraussetzungen zur Anerkennung der Staatenlosigkeit nicht erfüllt.</w:t>
      </w:r>
    </w:p>
    <w:p>
      <w:r>
        <w:rPr>
          <w:b/>
        </w:rPr>
        <w:t>E. 7</w:t>
      </w:r>
    </w:p>
    <w:p>
      <w:r>
        <w:t>Aus diesen Darlegungen folgt, dass sich die angefochtene Verfügung im Lichte von Art. 49 VwVG als rechtmässig erweist. Die Beschwerde ist demzufolge abzuweisen.</w:t>
      </w:r>
    </w:p>
    <w:p>
      <w:r>
        <w:rPr>
          <w:b/>
        </w:rPr>
        <w:t>E. 8.1</w:t>
      </w:r>
    </w:p>
    <w:p>
      <w:r>
        <w:t>Die Verfahrenskosten sind grundsätzlich der unterliegenden Partei aufzuerlegen (Art. 63 Abs. 1 VwVG), nicht jedoch im vorliegenden Fall. Der Beschwerdeführer hat in seiner Rechtsmitteleingabe ein Gesuch um Gewährung der unentgeltlichen Rechtspflege samt Rechtsverbeiständung gestellt, für das ihm mit Zwischenverfügung vom 9. Mai 2017 ein Entscheid zu einem späteren Zeitpunkt in Aussicht gestellt wurde. Dieses Gesuch ist gutzuheissen, da die Beschwerde nicht von vornherein aussichtslos erschien und die Bedürftigkeit belegt wurde (vgl. Art. 65 Abs. 1 VwVG). Die Umstände des Falles rechtfertigen es überdies, den bisherigen Rechtsvertreter, Advokat Ozan Polatli, als unentgeltlichen Rechtsbeistand einzusetzen (Art. 65 Abs. 2 VwVG).</w:t>
      </w:r>
    </w:p>
    <w:p>
      <w:r>
        <w:rPr>
          <w:b/>
        </w:rPr>
        <w:t>E. 8.2</w:t>
      </w:r>
    </w:p>
    <w:p>
      <w:r>
        <w:t>Das Honorar des amtlichen Rechtsbeistandes wird gemäss der am 10. Juli 2017 eingereichten Kostennote auf Fr. 1'892.40 (inkl. Auslagen und Zuschlag für die Mehrwertsteuer) festgesetzt (Art. 12 und Art. 14 des Reglements vom 21. Februar 2008 über die Kosten und Entschädigungen vor dem Bundesverwaltungsgericht [VGKE, SR 173.320.2]). Diesen Betrag hat der Beschwerdeführer dem Bundesverwaltungsgericht zurückzuerstatten, sollte er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