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F-2350/2022 vom 11. Mai 2022</w:t>
      </w:r>
    </w:p>
    <w:p>
      <w:r>
        <w:t>Bundesverwaltungsgericht, 2022-05-11, FR</w:t>
      </w:r>
    </w:p>
    <w:p>
      <w:r>
        <w:rPr>
          <w:b/>
        </w:rPr>
        <w:t xml:space="preserve">Quelle: </w:t>
      </w:r>
      <w:r>
        <w:t>https://mcp.opencaselaw.ch/entscheid/bvger_F-2350_2022_d20220511</w:t>
      </w:r>
    </w:p>
    <w:p>
      <w:r>
        <w:t>FR: TAF F-2350/2022 du 11 mai 2022</w:t>
      </w:r>
    </w:p>
    <w:p>
      <w:r>
        <w:t>IT: TAF F-2350/2022 del 11 maggio 2022</w:t>
      </w:r>
    </w:p>
    <w:p>
      <w:pPr>
        <w:pStyle w:val="Heading2"/>
      </w:pPr>
      <w:r>
        <w:t>Regeste</w:t>
      </w:r>
    </w:p>
    <w:p>
      <w:r>
        <w:t>Droit &amp;agrave; la rente | Assurance-invalidité (décision du 11 mai 2022). Décision confirmée partiellement par le TF.</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w:t>
      </w:r>
    </w:p>
    <w:p>
      <w:r>
        <w:t>F-2350/2022 Page 4</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 sion en vigueur ce jour (ATF 144 II 276 consid. 2.2.4).</w:t>
      </w:r>
    </w:p>
    <w:p>
      <w:r>
        <w:rPr>
          <w:b/>
        </w:rPr>
        <w:t>E. 1.3</w:t>
      </w:r>
    </w:p>
    <w:p>
      <w:r>
        <w:t>Dans la mesure où la recourante est directement touchée par la décision attaquée et a un intérêt digne d’être protégée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L’objet du litige est le bien-fondé de la décision de l’OAIE du 11 mai 2022 rejetant la demande de rente d’invalidité de la recourante, au motif que celle-ci présentait un degré d’invalidité de 22%, insuffisant pour ouvrir le droit à la rente.</w:t>
      </w:r>
    </w:p>
    <w:p>
      <w:r>
        <w:rPr>
          <w:b/>
        </w:rPr>
        <w:t>E. 3.1</w:t>
      </w:r>
    </w:p>
    <w:p>
      <w:r>
        <w:t>Dans le cadre du développement continu de l'AI, la LAI, le RAI (RS 831.201) et la LPGA ont été modifiés avec effet au 1er janvier 2022 (modification du 19 juin 2020 ; RO 2021 705 ; FF 2017 2535).</w:t>
      </w:r>
    </w:p>
    <w:p>
      <w:r>
        <w:rPr>
          <w:b/>
        </w:rPr>
        <w:t>E. 3.2</w:t>
      </w:r>
    </w:p>
    <w:p>
      <w:r>
        <w:t>De façon générale, le droit applicable est déterminé par les règles en vigueur au moment où les faits juridiquement déterminants se sont pro- duits, étant précisé que le juge n'a pas à prendre en considération les mo- 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 dification du 19 juin 2020 (let. b al. 1) énoncent que pour les bénéficiaires de rente dont le droit à la rente est né avant l’entrée en vigueur de la pré- 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 tème de rentes linéaire (ci-après : Circ. DT DC AI, chiffre 1007 s. ;</w:t>
      </w:r>
    </w:p>
    <w:p>
      <w:r>
        <w:t>F-2350/2022 Page 5 cf. https://sozialversicherungen.admin.ch/fr/d/18439/download [site con- sulté en août 2023]), les rentes d’invalidité de l’ancien droit sont les rentes dont le début du droit est né avant le 31 décembre 2021 et les rentes d’in- validité du nouveau droit sont celles dont le début du droit est intervenu dès le 1er janvier 2022. Il en résulte que si une décision concernant la fixa- 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3.3</w:t>
      </w:r>
    </w:p>
    <w:p>
      <w:r>
        <w:t>En l’espèce, la demande a été déposée le 4 juillet 2019, de sorte que le droit au versement de la rente existerait depuis le 1er janvier 2020 (cf. art. 29 al. 1 LAI). Ainsi, le Tribunal tiendra compte des règles en vigueur à ce moment-là et ne prendra pas en considération le nouveau droit.</w:t>
      </w:r>
    </w:p>
    <w:p>
      <w:r>
        <w:rPr>
          <w:b/>
        </w:rPr>
        <w:t>E. 4.1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4.2</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w:t>
      </w:r>
    </w:p>
    <w:p>
      <w:r>
        <w:t>F-2350/2022 Page 6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140 I 285 consid. 6.3.1 et les références citées).</w:t>
      </w:r>
    </w:p>
    <w:p>
      <w:r>
        <w:rPr>
          <w:b/>
        </w:rPr>
        <w:t>E. 4.3</w:t>
      </w:r>
    </w:p>
    <w:p>
      <w:r>
        <w:t>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sécu- 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 ATF 130 V 253 consid. 2.4 ; arrêt du TF 9C_465/2022 du 1er mars 2023 consid. 5.5).</w:t>
      </w:r>
    </w:p>
    <w:p>
      <w:r>
        <w:rPr>
          <w:b/>
        </w:rPr>
        <w:t>E. 5</w:t>
      </w:r>
    </w:p>
    <w:p>
      <w:r>
        <w:t>Selon l’art. 36 LAI, l’assuré qui compte trois années au moins de cotisations lors de la survenance de l’invalidité a droit à une rente d’invalidité ordinaire (al. 1). En l’occurrence, la recourante a versé des cotisations à l'AVS/AI suisse pendant plus de trois ans (cf. supra consid. A). Elle remplit donc la condition de durée minimale de cotisations. Il reste à examiner si l’assurée est invalide au sens de la loi.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w:t>
      </w:r>
    </w:p>
    <w:p>
      <w:r>
        <w:t>F-2350/2022 Page 7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6.3</w:t>
      </w:r>
    </w:p>
    <w:p>
      <w:r>
        <w:t>L'évaluation du taux d'invalidité se fait principalement sur la base de trois méthodes : la méthode ordinaire de comparaison des revenus, la mé- thode spécifique et la méthode mixte. Leur application dépend du statut du bénéficiaire potentiel de la rente. Si l'assuré exerçait une activité lucrative à temps partiel parallèlement à l'accomplissement de travaux habituels, il convient de pondérer les deux méthodes (générale et spécifique) en fonction du temps alors attribué à chacune des activités précitées (méthode mixte ; art. 28a al. 3 LAI ; ATF 137 V 334 consid. 3.1 et 4.1 ; arrêt du TF 9C_333/2022 du 10 mai 2023 consid. 3). Pour déterminer la part de l'activité lucrative par rapport à celle consacrée aux travaux ménagers, il convient d'examiner ce que ferait l'assuré dans les mêmes circonstances s'il n'était pas atteint dans sa santé (cf. ATF 144 I 28 consid. 2.3 ; arrêt du TF 9C_250/2021 du 24 mars 2022 consid. 2.2). Le taux d'invalidité est calculé d'après le handicap dont la per- sonne est affectée dans les deux domaines d'activité. L'obligation de ré- duire le dommage en organisant son travail et en recourant à l'aide des proches dans les travaux ménagers, notamment les plus lourds, s'applique également à l'assuré dont l'invalidité est évaluée selon la méthode mixte</w:t>
      </w:r>
    </w:p>
    <w:p>
      <w:r>
        <w:t>F-2350/2022 Page 8 (ATF 133 V 504, consid. 4.2 ; arrêt du TF 8C_119/2023 du 15 juin 2023 consid. 5.3.3).</w:t>
      </w:r>
    </w:p>
    <w:p>
      <w:r>
        <w:rPr>
          <w:b/>
        </w:rPr>
        <w:t>E. 6.4</w:t>
      </w:r>
    </w:p>
    <w:p>
      <w:r>
        <w:t>L'art. 27bis RAI, dans sa version en vigueur jusqu’au 31 décembre 2021, prescrit que, pour les personnes qui exercent une activité lucrative à temps partiel et accomplissent par ailleurs des travaux habituels visés à l'art. 7 al. 2 de la loi, le taux d'invalidité est déterminé par l'addition du taux d'inva- 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7.1</w:t>
      </w:r>
    </w:p>
    <w:p>
      <w:r>
        <w:t>S’agissant en l’espèce de l’examen à effectuer par le Tribunal, il est rappelé que la demande précédente de prestations de l’assurée a été re- jetée par décision de l’OAIE du 19 décembre 2014. Cette décision, non contestée, est entrée en force et limite – théoriquement – l’examen de la nouvelle demande de prestations de l’intéressée.</w:t>
      </w:r>
    </w:p>
    <w:p>
      <w:r>
        <w:rPr>
          <w:b/>
        </w:rPr>
        <w:t>E. 7.2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167 consid. 4.1). La jurisprudence a précisé que tout changement important des circons- tances propres à influencer le degré d'invalidité, et donc le droit à la rente, peut motiver une révision selon l'art. 17 LPGA. En revanche, une simple appréciation différente d'un état de fait, qui, pour l'essentiel, est demeuré</w:t>
      </w:r>
    </w:p>
    <w:p>
      <w:r>
        <w:t>F-2350/2022 Page 9 inchangé n'appelle pas à une révision au sens de l'art. 17 LPGA (ATF 147 V 161 consid. 4.2). Le point de savoir si un tel changement s'est produit doit être tranché en comparant les faits tels qu'ils se présentaient au mo- ment de la dernière décision entrée en force reposant sur un examen ma- 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w:t>
      </w:r>
    </w:p>
    <w:p>
      <w:r>
        <w:rPr>
          <w:b/>
        </w:rPr>
        <w:t>E. 7.3</w:t>
      </w:r>
    </w:p>
    <w:p>
      <w:r>
        <w:t>En l’espèce toutefois, la première demande de l’intéressée avait été déposée suite à une subluxation de la hanche gauche, avec lésion muscu- laire et tendineuse et déchirure musculaire de l’adducteur de la hanche gauche. Cette demande avait par la suite été rejetée, l’assurée ayant récu- péré une pleine capacité de travail et repris son emploi. La nouvelle demande ayant été déposée en invoquant des polyarthralgies de type tendinopathie, une asthénie, un trouble du sommeil avec réveil nocturne, un dérouillage matinal, une désadaptation à l’effort et un trouble de la concentration, atteintes étant toutes apparues après le début de l’an- née 2018, le Tribunal n’analysera pas plus avant la situation ayant mené au prononcé de la première décision de refus de prestations, mais s’inté- ressera immédiatement à la situation à compter de 2018, comme l’a du reste fait l’autorité inférieure.</w:t>
      </w:r>
    </w:p>
    <w:p>
      <w:r>
        <w:rPr>
          <w:b/>
        </w:rPr>
        <w:t>E. 8.1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w:t>
      </w:r>
    </w:p>
    <w:p>
      <w:r>
        <w:t>F-2350/2022 Page 10 quelle mesure et pour quelles activités la personne concernée est inca- pable de travailler, compte tenu de ses limitations (ATF 148 V 49 consid. 6.2.1 ; 143 V 418 consid. 6).</w:t>
      </w:r>
    </w:p>
    <w:p>
      <w:r>
        <w:rPr>
          <w:b/>
        </w:rPr>
        <w:t>E. 8.2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 ports médicaux (ATF 125 V 351 consid. 3b et 3c ; arrêt du TF 8C_425/2020 du 27 janvier 2021 consid. 2.3).</w:t>
      </w:r>
    </w:p>
    <w:p>
      <w:r>
        <w:rPr>
          <w:b/>
        </w:rPr>
        <w:t>E. 8.2.1</w:t>
      </w:r>
    </w:p>
    <w:p>
      <w:r>
        <w:t>Ainsi, le juge des assurances sociales doit examiner de manière ob- jective tous les moyens de preuve, quelle que soit leur provenance, puis décider si les documents à disposition permettent de porter un jugement valable sur le droit litigieux. A cet égard, l’élément déterminant pour recon- 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 sions du médecin sont dûment motivées (ATF 134 V 231 consid. 5.1;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(arrêts du TF 8C_225/2021 du 10 juin 2021 consid. 3.2 ; 9C_555/2017 du 22 novembre 2017 consid. 3.1).</w:t>
      </w:r>
    </w:p>
    <w:p>
      <w:r>
        <w:rPr>
          <w:b/>
        </w:rPr>
        <w:t>E. 8.2.2</w:t>
      </w:r>
    </w:p>
    <w:p>
      <w:r>
        <w:t>Le but des expertises interdisciplinaires est de recenser toutes les atteintes à la santé pertinentes et de regrouper en un résultat global les limitations de la capacité de travail qui en découlent (ATF 143 V 124 consid. 2.2.4 ; 137 V 210 consid. 1.2.4). Il en va de même en ce qui con- cerne la délimitation parfois difficile entre les états assurés au sens de l'art. 4 al. 1 LAI et les facteurs étrangers à l'invalidité. L'appréciation globale et définitive de l'état de santé et de la capacité de travail revêt ainsi une grande importance lorsqu'elle est effectuée sur la base d'une discussion consensuelle entre les médecins spécialistes qui participent à l'expertise. Une telle évaluation récapitulative basée sur une discussion consensuelle</w:t>
      </w:r>
    </w:p>
    <w:p>
      <w:r>
        <w:t>F-2350/2022 Page 11 entre les différents experts ou sous la direction d'un médecin responsable du cas pour rassembler et exposer les résultats des différentes spécialités est idéale, mais pas obligatoire (ATF 143 V 124 consid. 2.2.4 et les réfé- rences citées).</w:t>
      </w:r>
    </w:p>
    <w:p>
      <w:r>
        <w:rPr>
          <w:b/>
        </w:rPr>
        <w:t>E. 8.2.3</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 cernant la suite à donner à la demande de prestations. Ils ne posent pas de nouvelles conclusions médicales mais portent une appréciation sur celles déjà existantes (arrêt du TF 8C_616/2020 du 15 juin 2021 con- sid. 6.2.4 et les références citées).</w:t>
      </w:r>
    </w:p>
    <w:p>
      <w:r>
        <w:rPr>
          <w:b/>
        </w:rPr>
        <w:t>E. 8.2.4</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TF 9C_54/2021 du 25 février 2022 consid. 5.4). Toutefois, le simple fait qu’un rapport médical soit établi à la demande d’une partie et soit produit pendant la procédure ne justifie pas en soi des doutes quant à sa valeur probante (ATF 141 III 433 con- sid. 2.3).</w:t>
      </w:r>
    </w:p>
    <w:p>
      <w:r>
        <w:rPr>
          <w:b/>
        </w:rPr>
        <w:t>E. 9</w:t>
      </w:r>
    </w:p>
    <w:p>
      <w:r>
        <w:t>Il convient de rappeler que la recourante a déposé une demande de pres- tations pour adultes le 4 juillet 2019, en invoquant des polyarthralgies de type tendinopathie, une asthénie, un trouble du sommeil avec réveil noc- turne, un dérouillage matinal, une désadaptation à l’effort et un trouble de la concentration. Dans le cadre de son recours, l’assurée conteste la ca- pacité de travail retenue par l’OAIE pour déterminer sa capacité de gain, et plus particulièrement la valeur probante du rapport d’expertise bidiscipli- naire du 12 mars 2021 et dont l’OAIE reprend les conclusions, pour retenir une capacité de travail entière dans une activité adaptée, avec une baisse de rendement de 20%.</w:t>
      </w:r>
    </w:p>
    <w:p>
      <w:r>
        <w:rPr>
          <w:b/>
        </w:rPr>
        <w:t>E. 9.1.1</w:t>
      </w:r>
    </w:p>
    <w:p>
      <w:r>
        <w:t>Sur le plan rhumatologique, les médecins ayant eu l’occasion d’exa- miner la recourante ont notamment rédigé les rapports suivants.</w:t>
      </w:r>
    </w:p>
    <w:p>
      <w:r>
        <w:t>F-2350/2022 Page 12 Dans un rapport adressé le 10 juillet 2018 à l’assureur-maladie de la re- courante (OAIE, pce 40), la Dre E._______, spécialiste en médecine gé- nérale et médecin traitant de la recourante, fait état d’une suspicion de dia- gnostic de connectivité indifférenciée, en relevant notamment les po- lyarthralgies ainsi que la présence d’anticorps antinucléaires positifs. Dans son rapport, adressé le 27 novembre 2018 à l’assureur-maladie (OAIE, pce 40 p. 222 ss), la Dre E._______ confirme le diagnostic de con- nectivité préalablement suspecté. Elle considère toutefois que l’exercice d’une activité adaptée demeure exigible. Dans son rapport d’expertise (assessment) du 20 février 2019 (OAIE, pce 40 p. 186 ss), le Dr F._______, spécialiste en rhumatologie mandaté par l’assureur-maladie perte de gain de la recourante, considère que le dia- gnostic de polyarthrite rhumatoïde débutante paraît le plus approprié. Il se prononce également en défaveur d’une connectivité, malgré la présence d’anticorps antinucléaires positifs, et rejette les autres diagnostics pos- sibles, notamment ceux de lupus érythémateux disséminé et de lupus dis- coïde. Il considère de plus que l’état de santé de la recourante n’est pas encore stabilisé. Enfin, il fixe la capacité de travail à 50% avec une amélio- ration possible, si de nouvelles poussées inflammatoires n’émergent pas, pour atteindre une capacité de travail entière en septembre 2019. Dans son rapport du 17 avril 2019 (OAIE, pce 43), la Dre G._______, mé- decin au Service de médecine interne du Centre Hospitalier H._______, pose le diagnostic de lupus cutané articulaire probable, devant l’associa- tion des symptômes de polyarthralgies distales symétriques d’horaire in- flammatoire, de photosensibilité et d’anticorps antinucléaires fluctuants (entre 1/640 et 1/1280). Elle relève toutefois le manque d’un critère immu- nologique. Dans son rapport du 18 novembre 2019 (OAIE, pce 51), le Dr I._______, spécialiste en rhumatologie et en médecine du sport, retient le diagnostic de lupus cutanéo-articulaire depuis le mois d’avril 2018. Il relève à titre de limitations fonctionnelles un déficit d’attention et de concentration, des dou- leurs au port de charges ainsi que des douleurs globales. Il considère que sa patiente dispose d’une capacité de travail de quatre heures par jour, indépendamment de l’activité exercée. Dans son rapport du 8 juin 2020 (OAIE, pce 62), le Dr J._______, chef de clinique au Service de rhumatologie des Hôpitaux Universitaires</w:t>
      </w:r>
    </w:p>
    <w:p>
      <w:r>
        <w:t>F-2350/2022 Page 13 K._______, retient le diagnostic de connectivité indifférenciée avec des ar- thralgies. Dans son rapport du 16 juillet 2020 (OAIE, pce 63), le Dr L._______, spé- cialiste en psychiatrie, pose les diagnostics de syndrome anxiodépressif réactionnel / lupus (F32) et de personnalité anxieuse (F40). Il considère que sa patiente fait face à une maladie organique ayant des répercussions psychologiques et estime qu’une réorientation professionnelle s’impose. Dans son rapport reçu par l’OAIE le 10 août 2020 (OAIE, pce 67), la Dre E._______ retient le diagnostic de lupus et relève une asthénie, diffé- rentes douleurs (poignets, coudes, épaules, genoux, chevilles, hanche) ainsi qu’une perte de moral et un trouble de l’humeur et du sommeil. Elle considère que la capacité de travail de la recourante varie entre 20% et 60% en raison de la douleur et de la fatigue.</w:t>
      </w:r>
    </w:p>
    <w:p>
      <w:r>
        <w:rPr>
          <w:b/>
        </w:rPr>
        <w:t>E. 9.1.2</w:t>
      </w:r>
    </w:p>
    <w:p>
      <w:r>
        <w:t>Dans son rapport d’expertise du 12 mars 2021 (OAIE, pce 89), le Dr B._______, spécialiste en médecine interne et rhumatologie, retient le diagnostic incapacitant de connectivité indifférenciée (M35). Il écarte le dia- gnostic de lupus érythémateux systémique, ainsi que le diagnostic de po- lyarthrite rhumatoïde débutante. Enfin, il écarte le diagnostic de myosite, faute d’atteinte viscérale certaine, et souligne l’absence de syndrome in- flammatoire sanguin et de cytopénie, ainsi que le fait que les anticorps an- tinucléaires soient dans la norme. A titre de diagnostics non-incapacitants, l’expert retient un status après toxidermie sévère ainsi qu’un status après lésion avec arrachement partiel du tendon du psoas au niveau du petit tro- chanter suite à une chute. Il considère par ailleurs les plaintes de la recourante comme cohérentes et plausibles, compte tenu du dossier et de l’anamnèse, et fixe la capacité de travail à 50% dans son activité habituelle. S’agissant de la capacité de tra- vail dans une activité adaptée, l’expert considère que celle-ci est entière, avec une diminution de rendement de 20%, tant que les limitations fonc- tionnelles (port des charges supérieures à cinq kilos fréquent, marche pro- longée, mouvements répétés et en force sollicitant les articulations digi- tales et des poignets) sont respectées. Il estime enfin que cette capacité de travail dans une activité adaptée est présente depuis le 1er octobre 2019.</w:t>
      </w:r>
    </w:p>
    <w:p>
      <w:r>
        <w:rPr>
          <w:b/>
        </w:rPr>
        <w:t>E. 9.1.3</w:t>
      </w:r>
    </w:p>
    <w:p>
      <w:r>
        <w:t>En l’espèce, le Tribunal prend acte de l’opinion de la recourante selon laquelle l’expert se contredit dans son expertise, en excluant puis en rete- nant le diagnostic de connectivité indifférenciée. Cela étant, à la lecture du</w:t>
      </w:r>
    </w:p>
    <w:p>
      <w:r>
        <w:t>F-2350/2022 Page 14 rapport d’expertise, force est de constater que l’expert est demeuré cons- tant dans son appréciation selon laquelle ce diagnostic doit être retenu, quand bien même il considère que cette connectivité indifférenciée n’est que modérément active au moment de l’expertise. S’agissant ensuite du diagnostic de lupus érythémateux, l’expert a souligné que les critères de classification internationaux n’étaient pas remplis, de sorte que ce diagnostic ne pouvait être retenu. A cet égard, la critique de la recourante selon laquelle l’expert a écarté ce diagnostic, « de manière péremptoire » et sans s’expliquer, tombe à faux. Par surabondance, on re- lèvera que l’expert mandaté par l’assureur-maladie en 2019 avait égale- ment écarté le diagnostic de lupus érythémateux. Face à l’opinion de deux spécialistes, formulée après examen de la recourante et analyse du dos- sier, les diagnostics posés par les médecins de la recourante, lesquels ne sont au demeurant pas motivés, pouvaient dès lors être écartés. S’agissant enfin du diagnostic de polyarthrite rhumatoïde débutante, re- tenu par le Dr F._______ et exclu par l’expert, celui-ci a justifié sa position en soulignant l’absence de toute synovite documentée, tant par le passé que lors de son examen de la recourante en date du 26 janvier 2021. Cela étant, le Dr F._______, s’il a effectivement retenu le diagnostic de polyar- thrite rhumatoïde débutante, a souligné dans son expertise que celui-ci « paraissait le plus approprié », ainsi qu’avoir « plutôt observé un tableau évoquant un tel diagnostic », expressions ne faisant pas état d’une franche certitude. Par ailleurs, si le Dr F._______ retient que les critères de polyar- thrite rhumatoïde débutante sont remplis, ceux-ci le sont de manière mini- mum (score de six sur dix, avec un score minimum nécessaire de six). En outre, aucun des autres médecins ayant examiné la recourante n’a jamais considéré que ce diagnostic devait être retenu. Dès lors, le fait que l’expert n’ait pas retenu ce diagnostic, en justifiant sa position, ne saurait être criti- qué, d’autant plus qu’il avait connaissance du rapport du Dr F._______ et en a tenu compte dans le cadre de son appréciation. Enfin, le rapport du 12 septembre 2022 du Dr I._______ (act. TAF 13), pro- duit en cours de procédure, ne permet pas de remettre en cause les con- clusions du Dr B._______. En effet, indépendamment des discussions entre médecins relatives au diagnostic, le Dr I._______ remettant en cause le diagnostic retenu par l’expert, force est de constater que celui-ci ne con- teste par contre pas les conclusions de l’expert quant à la capacité de tra- vail de sa patiente ou aux limitations fonctionnelles qu’elle rencontrerait dans le cadre d’une activité professionnelle, de sorte que les conclusions de l’expert peuvent être suivies sur ces questions.</w:t>
      </w:r>
    </w:p>
    <w:p>
      <w:r>
        <w:t>F-2350/2022 Page 15 Au vu de l’ensemble de ce qui précède, le Tribunal peut suivre les conclu- sions convaincantes et motivées de l’expert et retenir la valeur probante du volet rhumatologique du rapport d’expertise du 12 mars 2021.</w:t>
      </w:r>
    </w:p>
    <w:p>
      <w:r>
        <w:rPr>
          <w:b/>
        </w:rPr>
        <w:t>E. 9.2</w:t>
      </w:r>
    </w:p>
    <w:p>
      <w:r>
        <w:t>S’agissant du volet psychiatrique de l’expertise bidisciplinaire du</w:t>
      </w:r>
    </w:p>
    <w:p>
      <w:r>
        <w:rPr>
          <w:b/>
        </w:rPr>
        <w:t>E. 9.3</w:t>
      </w:r>
    </w:p>
    <w:p>
      <w:r>
        <w:t>Enfin, la recourante reproche aux experts de ne pas avoir procédé à une évaluation consensuelle, alors que tel était requis par le mandat de l’OAIE. Cela étant, le Tribunal constate que le rapport d’expertise débute précisé- ment par une « évaluation consensuelle », de sorte que la recourante ne saurait être suivie dans sa critique. Par ailleurs, quand bien même les ex- perts n’auraient pas procédé à une telle évaluation consensuelle, leurs conclusions auraient tout de même pu être suivies, compte tenu de la ju- risprudence en la matière (cf. supra consid. 8.2.2).</w:t>
      </w:r>
    </w:p>
    <w:p>
      <w:r>
        <w:rPr>
          <w:b/>
        </w:rPr>
        <w:t>E. 9.4</w:t>
      </w:r>
    </w:p>
    <w:p>
      <w:r>
        <w:t>Sur le vu de l’ensemble de ce qui précède, c’est à bon droit que l’auto- rité inférieure a estimé que la recourante était en mesure de travailler à</w:t>
      </w:r>
    </w:p>
    <w:p>
      <w:r>
        <w:t>F-2350/2022 Page 16 temps plein, avec une baisse de rendement de 20% pour tenir compte des arthralgies récidivantes inopinées et des troubles du sommeil. Le Tribunal a en outre eu la possibilité de se convaincre que les faits mis en évidence par l’instruction menée par l’autorité inférieure présentent un degré de vraisemblance prépondérante et que d’autres mesures proba- toires ne pourront plus modifier son appréciation (cf. supra consid. 4.2). Dans ces conditions, les requêtes de la recourante, tendant à l’audition de témoins et de la recourante ainsi qu’à la mise en œuvre de mesures d’ob- servations professionnelles judiciaires et d’une expertise médicale bidisci- plinaire (rhumatologique et psychiatrique) judiciaire, doivent être rejetées. 10. Il reste à déterminer si le taux d’invalidité de 22% dans une activité adaptée à compter du 1er octobre 2019 peut être confirmé. Pour aboutir à ce taux, l’OAIE a recouru à la méthode mixte et considéré que l’assurée présentait une invalidité de 5,9% dans son activité ménagère et de 16% dans une activité professionnelle adaptée. Le choix de la méthode de calcul n’est pas remis en cause par la recou- rante. Il est par ailleurs conforme au droit (cf. supra consid. 6.3), l’intéres- sée ayant travaillé à 80% avant son atteinte à la santé et n’envisageant pas un changement de taux d’activité. 10.1 Dans sa décision du 11 mai 2022, l’OAIE a considéré que la recou- rante serait en mesure de retrouver une activité adaptée à ses limitations, en tant qu’infirmière, notamment en service ambulatoire ou comme coordi- natrice de transplantation, de sorte qu’il n’était pas nécessaire de procéder à un calcul détaillé. L’autorité inférieure a dès lors retenu que celle-ci pré- sentait un empêchement de travailler de 20% dans son activité profession- nelle, soit un degré d’invalidité dans la sphère professionnelle global de 16% pour un taux d’activité de 80% avec une perte de rendement de 20%. 10.2 Pour sa part, la recourante conteste cette manière de procéder, con- sidérant que sa requalification en tant qu’infirmière « administrative » en- traînera une baisse de ses revenus, s’appuyant pour ce faire sur la CCT applicable au canton (…) pour les infirmières d’établissements privés. Elle estime également qu’il est irréaliste de se baser sur le revenu qu’elle réali- sait avant son atteinte à la santé, en se contentant de déduire la perte de rendement fixée par les experts.</w:t>
      </w:r>
    </w:p>
    <w:p>
      <w:r>
        <w:t>F-2350/2022 Page 17 Compte tenu de ces considérations, la recourante est d’avis qu’il convient de procéder au calcul du degré d’invalidité dans l’activité professionnelle en recourant aux tableaux statistiques usuels de l’Office fédéral de la sta- tistique 2018 (OFS ; TA1_tirage_skill_level) et en tenant compte d’un abat- tement de 20% au vu des limitations qu’elle rencontre. A titre principal, elle estime qu’une activité d’infirmière n’est plus exigible et se réfère ainsi à la ligne « totale » pour les femmes de niveau un et, à titre subsidiaire, à la ligne « santé humaine et action sociale » (86-88), pour calculer son degré d’invalidité. 11. 11.1 De jurisprudence constante, le revenu d'invalide doit être évalué avant tout en fonction de la situation professionnelle concrète de l'intéressé. En l'absence d'un revenu effectivement réalisé – soit lorsque la personne as- surée, après la survenance de l'atteinte à la santé, n'a pas repris d'activité lucrative ou alors aucune activité normalement exigible –, le revenu d'inva- lide peut être évalué sur la base de salaires fondés sur les données statis- tiques résultant de l'Enquête suisse sur la structure des salaires (cf. ATF 139 V 592 consid. 2.3 ; arrêt du TF 9C_149/2023 du 5 juillet 2023 consid. 9.2.1). Lorsqu'il s'agit d'examiner dans quelle mesure un assuré peut encore ex- ploiter économiquement sa capacité de gain résiduelle sur le marché du travail entrant en considération pour lui (art. 16 LPGA), on ne saurait su- 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 rique et abstraite qui sert de critère de distinction entre les cas tombant sous le coup de l'assurance-chômage et ceux qui relèvent de l'assurance- 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(arrêts du TF 9C_597/2018 du 18 janvier 2019 consid. 5.2; 9C_326/2018 du 5 octobre 2018 consid. 6.1). On ne saurait certes se fon- der sur des possibilités de travail irréalistes, mais il ne faut pas non plus poser des exigences excessives à la concrétisation des possibilités de tra- vail et des perspectives de gain ; cet examen s'effectue de façon d'autant plus approfondie que le profil d'exigibilité est défini de manière restrictive (arrêt du TF 8C_240/2021 du 15 septembre 2021 consid. 3 et les réfé- rences citées).</w:t>
      </w:r>
    </w:p>
    <w:p>
      <w:r>
        <w:t>F-2350/2022 Page 18 11.2 En principe, il n'est pas admissible de déterminer le degré d'invalidité sur la base de la simple évaluation médico-théorique de la capacité de tra- vail de la personne assurée, car cela reviendrait à déduire de manière abs- traite le degré d'invalidité de l'incapacité de travail, sans tenir compte de l'incidence économique de l'atteinte à la santé (arrêts du TF 9C_584/2017 du 17 juillet 2018 consid. 3.3 ; 9C_2602013 du 9 août 2013 consid. 4.2). Il découle par conséquent de la notion d'invalidité que ce n'est pas l'atteinte à la santé en soi qui est assurée, mais bien plutôt les conséquences éco- nomiques de celle-ci, c'est-à-dire une incapacité de gain qui sera proba- blement permanente ou du moins de longue durée (cf. art. 8 LPGA).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 il était superflu de les chiffrer avec exactitude. En pareil cas, le degré d'invalidité se confondait avec celui de l'incapacité de travail, sous réserve d'une éventuelle réduction du re- venu d'invalide afin de tenir compte de l'ensemble des circonstances per- sonnelles et professionnelles du cas particulier (arrêt du TF 8C_3/2022 du 18 janvier 2023 consid. 6.3.3 et les références citées). 11.3 La mesure dans laquelle les salaires ressortant des statistiques doi- vent être réduits, le cas échéant, au titre du désavantage salarial supplé- mentaire, dépend de l'ensemble des circonstances personnelles et profes- sionnelles du cas particulier (limitations liées au handicap, âge, années de service, nationalité/catégorie d'autorisation de séjour et taux d'occupation) et résulte d'une évaluation dans les limites du pouvoir d'appréciation (ATF 148 V 419 consid. 5.3). En revanche, l'exercice d'une activité à taux partiel ou le long éloignement du marché du travail ne sont pas des facteurs d'abattement au sens de la jurisprudence, tout comme d’éventuelles res- trictions liées à la santé déjà prises en compte dans l’évaluation de la ca- pacité de travail (ATF 148 V 174 consid. 6.3). Une déduction globale maxi- mum de 25% sur le salaire statistique permet de tenir compte des différents éléments qui peuvent influencer le revenu d'une activité lucrative (ATF 148 V 419 consid. 5.1).</w:t>
      </w:r>
    </w:p>
    <w:p>
      <w:r>
        <w:rPr>
          <w:b/>
        </w:rPr>
        <w:t>E. 11.1</w:t>
      </w:r>
    </w:p>
    <w:p>
      <w:r>
        <w:t>De jurisprudence constante,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ATF 139 V 592 consid. 2.3 ; arrêt du TF 9C_149/2023 du 5 juillet 2023 consid. 9.2.1).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(arrêts du TF 9C_597/2018 du 18 janvier 2019 consid. 5.2; 9C_326/2018 du 5 octobre 2018 consid. 6.1).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(arrêt du TF 8C_240/2021 du 15 septembre 2021 consid. 3 et les références citées).</w:t>
      </w:r>
    </w:p>
    <w:p>
      <w:r>
        <w:rPr>
          <w:b/>
        </w:rPr>
        <w:t>E. 11.2</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(arrêts du TF 9C_584/2017 du 17 juillet 2018 consid. 3.3 ; 9C_2602013 du 9 août 2013 consid. 4.2). Il découle par conséquent de la notion d'invalidité que ce n'est pas l'atteinte à la santé en soi qui est assurée, mais bien plutôt les conséquences économiques de celle-ci, c'est-à-dire une incapacité de gain qui sera probablement permanente ou du moins de longue durée (cf. art. 8 LPGA).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 il était superflu de les chiffrer avec exactitude. En pareil cas, le degré d'invalidité se confondait avec celui de l'incapacité de travail, sous réserve d'une éventuelle réduction du revenu d'invalide afin de tenir compte de l'ensemble des circonstances personnelles et professionnelles du cas particulier (arrêt du TF 8C_3/2022 du 18 janvier 2023 consid. 6.3.3 et les références citées).</w:t>
      </w:r>
    </w:p>
    <w:p>
      <w:r>
        <w:rPr>
          <w:b/>
        </w:rPr>
        <w:t>E. 11.3</w:t>
      </w:r>
    </w:p>
    <w:p>
      <w:r>
        <w:t>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(ATF 148 V 419 consid. 5.3). En revanche, l'exercice d'une activité à taux partiel ou le long éloignement du marché du travail ne sont pas des facteurs d'abattement au sens de la jurisprudence, tout comme d'éventuelles restrictions liées à la santé déjà prises en compte dans l'évaluation de la capacité de travail (ATF 148 V 174 consid. 6.3). Une déduction globale maximum de 25% sur le salaire statistique permet de tenir compte des différents éléments qui peuvent influencer le revenu d'une activité lucrative (ATF 148 V 419 consid. 5.1).</w:t>
      </w:r>
    </w:p>
    <w:p>
      <w:r>
        <w:rPr>
          <w:b/>
        </w:rPr>
        <w:t>E. 12</w:t>
      </w:r>
    </w:p>
    <w:p>
      <w:r>
        <w:t>En l’espèce, la manière de procéder de l’OAIE ne peut être suivie, la recourante ayant exercé une activité lucrative avant la survenance de son atteinte à la santé et le revenu qu’elle serait en mesure de réaliser dans une activité adaptée, par exemple en qualité d’infirmière administrative ou</w:t>
      </w:r>
    </w:p>
    <w:p>
      <w:r>
        <w:t>F-2350/2022 Page 19 en service ambulatoire, étant parfaitement estimable sur la base des sta- tistiques usuelles des données de l’OFS. Il convient dès lors de procéder au calcul du degré d’invalidité de la recou- rante sur la base du dossier.</w:t>
      </w:r>
    </w:p>
    <w:p>
      <w:r>
        <w:rPr>
          <w:b/>
        </w:rPr>
        <w:t>E. 12.1</w:t>
      </w:r>
    </w:p>
    <w:p>
      <w:r>
        <w:t>S’agissant en premier lieu du revenu sans invalidité, celui-ci peut être déterminé sur la base du questionnaire rempli par l’employeur le 23 août 2019. Celui-ci fait état d’un revenu annuel pour l’année 2019 de 85'148,70 francs, correspondant à un équivalent plein temps (40 heures par semaine) de 106'435,85 francs, soit 8'869,65 francs par mois, montant qui peut être repris tel quel.</w:t>
      </w:r>
    </w:p>
    <w:p>
      <w:r>
        <w:rPr>
          <w:b/>
        </w:rPr>
        <w:t>E. 12.2</w:t>
      </w:r>
    </w:p>
    <w:p>
      <w:r>
        <w:t>S’agissant ensuite du revenu avec invalidité, celui-ci doit être déter- miné, comme le requiert la jurisprudence, sur la base des tableaux statis- tiques de l’ESS pour les femmes. En l’espèce, vu les limitations fonction- nelles retenues par les experts (port des charges supérieures à cinq kilos fréquent, marche prolongée, mouvements répétés et en force sollicitant les articulations digitales et des poignets), la poursuite d’une activité dans le domaine de la santé demeure exigible de la part de la recourante. Par ailleurs, il appert que la recourante est au bénéfice d’une excellente formation. En effet, il ressort de son curriculum vitae (OAIE, pces 13 p. 40 et 89 p. 495) qu’elle est non seulement titulaire d’un diplôme d’Etat infir- mier, mais également qu’elle a bénéficié de très nombreuses formation in- tra-hospitalières, notamment en matière de manutention (établissement), de gestion de la douleur (N._______), de gestion du stress (N._______), de réanimation cardio-pulmonaire (établissement), d’incendie et mise en sécurité des patients (établissement), de transmission ciblée et orale (N._______), de gestion du patient diabétique types 1 et 2, d’accueil des patients et de leur famille, de prise en charge d’une personne atteinte d’une démence de type Alzheimer et de gestion des conflits et de la communica- tion des familles, ainsi que de sensibilisation aux soins palliatifs (O._______, P._______ et Q._______) et de dispensation de médicaments en EMS (R._______) (OAIE, pces 13 p. 40 et 89 p. 495). Ces excellentes qualifications se traduisent également dans le dernier sa- laire réalisé, puisque, comme déjà relevé, celui-ci se montait pour l’année 2019 à un équivalent plein temps de 106'434,60 francs par an, soit 8'869,55 francs par mois. Or, les statistiques de l’ESS 2018 estiment le revenu mensuel d’une femme travaillant dans le domaine de la santé avec le plus haut niveau de compétence possible à 7’253.- francs. De même, la</w:t>
      </w:r>
    </w:p>
    <w:p>
      <w:r>
        <w:t>F-2350/2022 Page 20 grille des salaires CCT Clinique privée M._______ 2017, sur laquelle la recourante propose de se baser pour déterminer le salaire qu’elle serait en mesure de réaliser, chiffre la plus haute classe de salaire d’une infirmière diplômée avec spécialisation à 6'023.- francs. Il est dès lors admissible de considérer que, compte tenu des nombreuses formations suivies et d’une expérience professionnelle de plus de vingt ans dans le domaine des soins médicaux, la recourante soit en mesure de re- trouver un poste adapté à ses limitations, impliquant une capacité à ré- soudre des problèmes complexes et à prendre des décisions fondées sur un vaste ensemble de connaissances théoriques et factuelles dans un do- maine spécialisé. Dès lors, il sera retenu un niveau de compétences de 4 dans les tableaux statistiques. Compte tenu de ces différents éléments, le revenu avec invalidité de la recourante doit être calculé sur la base du salaire mensuel brut réalisé par une femme dans le domaine de la santé avec un niveau de compétence 4, soit 7’253.- francs, et indexé selon l’Indice des prix à la consommation pour obtenir un salaire en 2019 de 7'296.- francs par mois. Compte tenu encore de la perte de rendement de 20% déterminée par les experts, la recourante est ainsi en mesure de réaliser un revenu avec invalidité en équivalent plein temps de 5'837.- francs. Contrairement à ce que prétend la recourante, il ne se justifie pas de pro- céder à un abattement supplémentaire sur ce revenu, les limitations fonc- tionnelles ayant été prises en compte dans le choix de la catégorie de re- venu et la fatigue et les douleurs que l’intéressée rencontre se traduisant dans la perte de rendement.</w:t>
      </w:r>
    </w:p>
    <w:p>
      <w:r>
        <w:rPr>
          <w:b/>
        </w:rPr>
        <w:t>E. 12.3</w:t>
      </w:r>
    </w:p>
    <w:p>
      <w:r>
        <w:t>Sur la base d’un revenu sans invalidité de 8'869,65 francs par mois et d’un revenu avec invalidité de 5'837.- francs par mois, la perte de gain de la recourante dans son activité professionnelle (80%) peut être fixée à 27,4% ([8'869,65 – 5'837.-] x 100 / 8'869,65 x 80%). A cela s’ajoute le taux d’invalidité de la recourante dans l’exercice de ses tâches ménagères que l’autorité intimée a fixé à 5,9% et que la recourante ne conteste pas. Celui-ci, reprenant les résultats de l’enquête économique sur le ménage du 17 novembre 2021, correspond aux exigences jurispru- dentielles en la matière et peut être repris tel quel.</w:t>
      </w:r>
    </w:p>
    <w:p>
      <w:r>
        <w:t>F-2350/2022 Page 21 Dès lors, le degré d’invalidité total de la recourante peut être fixé à 34%, soit un degré d’invalidité insuffisant pour permettre l’octroi d’une rente (cf. supra consid. 6.2).</w:t>
      </w:r>
    </w:p>
    <w:p>
      <w:r>
        <w:rPr>
          <w:b/>
        </w:rPr>
        <w:t>E. 13</w:t>
      </w:r>
    </w:p>
    <w:p>
      <w:r>
        <w:t>En dépit de la substitution de motifs, rendue nécessaire par l’approche er- ronée de l’OAIE dans le calcul du degré d’invalidité, il résulte de ce qui précède que le recours doit être rejeté et la décision du 11 mai 2022 con- firmée.</w:t>
      </w:r>
    </w:p>
    <w:p>
      <w:r>
        <w:rPr>
          <w:b/>
        </w:rPr>
        <w:t>E. 13.1</w:t>
      </w:r>
    </w:p>
    <w:p>
      <w:r>
        <w:t>Vu l'issue du litige, les frais judiciaires – fixés à 800.- francs – sont mis à la charge de la recourante (art. 63 PA en relation avec les art. 2 ss du règlement du 21 février 2008 concernant les frais, dépens et indemnités fixés par le Tribunal administratif fédéral [FITAF, RS 173.320.2]). Ils sont prélevés sur l'avance de frais du même montant dont elle s'est acquittée au cours de l'instruction.</w:t>
      </w:r>
    </w:p>
    <w:p>
      <w:r>
        <w:rPr>
          <w:b/>
        </w:rPr>
        <w:t>E. 13.2</w:t>
      </w:r>
    </w:p>
    <w:p>
      <w:r>
        <w:t>Il n'est pas alloué de dépens (art. 7 al. 1 a contrario et 7 al. 3 FITAF). (dispositif en page suivante)</w:t>
      </w:r>
    </w:p>
    <w:p>
      <w:r>
        <w:t>F-2350/2022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