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F-2350/2022 vom 14. November 2023</w:t>
      </w:r>
    </w:p>
    <w:p>
      <w:r>
        <w:t>Bundesverwaltungsgericht, 2023-11-14, FR</w:t>
      </w:r>
    </w:p>
    <w:p>
      <w:r>
        <w:rPr>
          <w:b/>
        </w:rPr>
        <w:t xml:space="preserve">Quelle: </w:t>
      </w:r>
      <w:r>
        <w:t>https://mcp.opencaselaw.ch/entscheid/bvger_F-2350_2022</w:t>
      </w:r>
    </w:p>
    <w:p>
      <w:r>
        <w:t>FR: TAF F-2350/2022 du 14 novembre 2023</w:t>
      </w:r>
    </w:p>
    <w:p>
      <w:r>
        <w:t>IT: TAF F-2350/2022 del 14 novembre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w:t>
      </w:r>
    </w:p>
    <w:p>
      <w:r>
        <w:t>F-2350/2022 Page 4</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 sion en vigueur ce jour (ATF 144 II 276 consid. 2.2.4).</w:t>
      </w:r>
    </w:p>
    <w:p>
      <w:r>
        <w:rPr>
          <w:b/>
        </w:rPr>
        <w:t>E. 1.3</w:t>
      </w:r>
    </w:p>
    <w:p>
      <w:r>
        <w:t>Dans la mesure où la recourante est directement touchée par la décision attaquée et a un intérêt digne d’être protégée à ce qu’elle soit annulée ou modifiée, elle a qualité pour recourir (art. 59 LPGA). Déposé en temps utile et dans les formes requises par la loi (art. 60 al. 1 LPGA et 52 al. 1 PA), l’avance sur les frais de procédure ayant été dûment acquittée (art. 63 al. 4 PA), le recours est recevable.</w:t>
      </w:r>
    </w:p>
    <w:p>
      <w:r>
        <w:rPr>
          <w:b/>
        </w:rPr>
        <w:t>E. 2</w:t>
      </w:r>
    </w:p>
    <w:p>
      <w:r>
        <w:t>L’objet du litige est le bien-fondé de la décision de l’OAIE du 11 mai 2022 rejetant la demande de rente d’invalidité de la recourante, au motif que celle-ci présentait un degré d’invalidité de 22%, insuffisant pour ouvrir le droit à la rente.</w:t>
      </w:r>
    </w:p>
    <w:p>
      <w:r>
        <w:rPr>
          <w:b/>
        </w:rPr>
        <w:t>E. 3.1</w:t>
      </w:r>
    </w:p>
    <w:p>
      <w:r>
        <w:t>Dans le cadre du développement continu de l'AI, la LAI, le RAI (RS 831.201) et la LPGA ont été modifiés avec effet au 1er janvier 2022 (modification du 19 juin 2020 ; RO 2021 705 ; FF 2017 2535).</w:t>
      </w:r>
    </w:p>
    <w:p>
      <w:r>
        <w:rPr>
          <w:b/>
        </w:rPr>
        <w:t>E. 3.2</w:t>
      </w:r>
    </w:p>
    <w:p>
      <w:r>
        <w:t>De façon générale, le droit applicable est déterminé par les règles en vigueur au moment où les faits juridiquement déterminants se sont pro- duits, étant précisé que le juge n'a pas à prendre en considération les mo- difications du droit ou de l'état de fait postérieurs à la date déterminante de la décision litigieuse (ATF 148 V 21 consid. 5.3 et les références citées). S’agissant plus spécifiquement du nouveau système des rentes linéaire, entré en vigueur au 1er janvier 2022, les dispositions transitoires de la mo- dification du 19 juin 2020 (let. b al. 1) énoncent que pour les bénéficiaires de rente dont le droit à la rente est né avant l’entrée en vigueur de la pré- 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 tème de rentes linéaire (ci-après : Circ. DT DC AI, chiffre 1007 s. ;</w:t>
      </w:r>
    </w:p>
    <w:p>
      <w:r>
        <w:t>F-2350/2022 Page 5 cf. https://sozialversicherungen.admin.ch/fr/d/18439/download [site con- sulté en août 2023]), les rentes d’invalidité de l’ancien droit sont les rentes dont le début du droit est né avant le 31 décembre 2021 et les rentes d’in- validité du nouveau droit sont celles dont le début du droit est intervenu dès le 1er janvier 2022. Il en résulte que si une décision concernant la fixa- 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3.3</w:t>
      </w:r>
    </w:p>
    <w:p>
      <w:r>
        <w:t>En l’espèce, la demande a été déposée le 4 juillet 2019, de sorte que le droit au versement de la rente existerait depuis le 1er janvier 2020 (cf. art. 29 al. 1 LAI). Ainsi, le Tribunal tiendra compte des règles en vigueur à ce moment-là et ne prendra pas en considération le nouveau droit.</w:t>
      </w:r>
    </w:p>
    <w:p>
      <w:r>
        <w:rPr>
          <w:b/>
        </w:rPr>
        <w:t>E. 4.1</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4.2</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w:t>
      </w:r>
    </w:p>
    <w:p>
      <w:r>
        <w:t>F-2350/2022 Page 6 peut renoncer à accomplir des actes d'instruction que si elle est convain- cue, au terme d’une appréciation consciencieuse des preuves, que cer- tains faits présentent un degré de vraisemblance prépondérante et que d'autres mesures probatoires ne pourraient plus modifier cette appréciation (ATF 140 I 285 consid. 6.3.1 et les références citées).</w:t>
      </w:r>
    </w:p>
    <w:p>
      <w:r>
        <w:rPr>
          <w:b/>
        </w:rPr>
        <w:t>E. 4.3</w:t>
      </w:r>
    </w:p>
    <w:p>
      <w:r>
        <w:t>Vu par ailleurs les éléments d'extranéité ressortant du dossier, sont ap- plicables l’ALCP (RS 0.142.112.681) ainsi que ses annexes et règlements (en particulier : règlement [CE] n° 883/2004 du Parlement européen et du Conseil du 29 avril 2004 portant sur la coordination des systèmes de sécu- 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 lidité suisse se détermine exclusivement d'après le droit suisse (art. 46 al. 3 et annexe VII du règlement n° 883/2004 ; ATF 130 V 253 consid. 2.4 ; arrêt du TF 9C_465/2022 du 1er mars 2023 consid. 5.5).</w:t>
      </w:r>
    </w:p>
    <w:p>
      <w:r>
        <w:rPr>
          <w:b/>
        </w:rPr>
        <w:t>E. 5</w:t>
      </w:r>
    </w:p>
    <w:p>
      <w:r>
        <w:t>Selon l’art. 36 LAI, l’assuré qui compte trois années au moins de cotisations lors de la survenance de l’invalidité a droit à une rente d’invalidité ordinaire (al. 1). En l’occurrence, la recourante a versé des cotisations à l'AVS/AI suisse pendant plus de trois ans (cf. supra consid. A). Elle remplit donc la condition de durée minimale de cotisations. Il reste à examiner si l’assurée est invalide au sens de la loi.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w:t>
      </w:r>
    </w:p>
    <w:p>
      <w:r>
        <w:t>F-2350/2022 Page 7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6.3</w:t>
      </w:r>
    </w:p>
    <w:p>
      <w:r>
        <w:t>L'évaluation du taux d'invalidité se fait principalement sur la base de trois méthodes : la méthode ordinaire de comparaison des revenus, la mé- thode spécifique et la méthode mixte. Leur application dépend du statut du bénéficiaire potentiel de la rente. Si l'assuré exerçait une activité lucrative à temps partiel parallèlement à l'accomplissement de travaux habituels, il convient de pondérer les deux méthodes (générale et spécifique) en fonction du temps alors attribué à chacune des activités précitées (méthode mixte ; art. 28a al. 3 LAI ; ATF 137 V 334 consid. 3.1 et 4.1 ; arrêt du TF 9C_333/2022 du 10 mai 2023 consid. 3). Pour déterminer la part de l'activité lucrative par rapport à celle consacrée aux travaux ménagers, il convient d'examiner ce que ferait l'assuré dans les mêmes circonstances s'il n'était pas atteint dans sa santé (cf. ATF 144 I 28 consid. 2.3 ; arrêt du TF 9C_250/2021 du 24 mars 2022 consid. 2.2). Le taux d'invalidité est calculé d'après le handicap dont la per- sonne est affectée dans les deux domaines d'activité. L'obligation de ré- duire le dommage en organisant son travail et en recourant à l'aide des proches dans les travaux ménagers, notamment les plus lourds, s'applique également à l'assuré dont l'invalidité est évaluée selon la méthode mixte</w:t>
      </w:r>
    </w:p>
    <w:p>
      <w:r>
        <w:t>F-2350/2022 Page 8 (ATF 133 V 504, consid. 4.2 ; arrêt du TF 8C_119/2023 du 15 juin 2023 consid. 5.3.3).</w:t>
      </w:r>
    </w:p>
    <w:p>
      <w:r>
        <w:rPr>
          <w:b/>
        </w:rPr>
        <w:t>E. 6.4</w:t>
      </w:r>
    </w:p>
    <w:p>
      <w:r>
        <w:t>L'art. 27bis RAI, dans sa version en vigueur jusqu’au 31 décembre 2021, prescrit que, pour les personnes qui exercent une activité lucrative à temps partiel et accomplissent par ailleurs des travaux habituels visés à l'art. 7 al. 2 de la loi, le taux d'invalidité est déterminé par l'addition du taux d'inva- 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7.1</w:t>
      </w:r>
    </w:p>
    <w:p>
      <w:r>
        <w:t>S’agissant en l’espèce de l’examen à effectuer par le Tribunal, il est rappelé que la demande précédente de prestations de l’assurée a été re- jetée par décision de l’OAIE du 19 décembre 2014. Cette décision, non contestée, est entrée en force et limite – théoriquement – l’examen de la nouvelle demande de prestations de l’intéressée.</w:t>
      </w:r>
    </w:p>
    <w:p>
      <w:r>
        <w:rPr>
          <w:b/>
        </w:rPr>
        <w:t>E. 7.2</w:t>
      </w:r>
    </w:p>
    <w:p>
      <w:r>
        <w:t>En effet, 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(ATF 147 V 167 consid. 4.1). La jurisprudence a précisé que tout changement important des circons- tances propres à influencer le degré d'invalidité, et donc le droit à la rente, peut motiver une révision selon l'art. 17 LPGA. En revanche, une simple appréciation différente d'un état de fait, qui, pour l'essentiel, est demeuré</w:t>
      </w:r>
    </w:p>
    <w:p>
      <w:r>
        <w:t>F-2350/2022 Page 9 inchangé n'appelle pas à une révision au sens de l'art. 17 LPGA (ATF 147 V 161 consid. 4.2). Le point de savoir si un tel changement s'est produit doit être tranché en comparant les faits tels qu'ils se présentaient au mo- ment de la dernière décision entrée en force reposant sur un examen ma- tériel du droit à la rente avec une constatation des faits pertinents, une appréciation des preuves et une comparaison des revenus conformes au droit, et les circonstances régnant à l'époque de la décision litigieuse (ATF 147 V 167 consid. 4.1).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145 V 141 consid. 5.4).</w:t>
      </w:r>
    </w:p>
    <w:p>
      <w:r>
        <w:rPr>
          <w:b/>
        </w:rPr>
        <w:t>E. 7.3</w:t>
      </w:r>
    </w:p>
    <w:p>
      <w:r>
        <w:t>En l’espèce toutefois, la première demande de l’intéressée avait été déposée suite à une subluxation de la hanche gauche, avec lésion muscu- laire et tendineuse et déchirure musculaire de l’adducteur de la hanche gauche. Cette demande avait par la suite été rejetée, l’assurée ayant récu- péré une pleine capacité de travail et repris son emploi. La nouvelle demande ayant été déposée en invoquant des polyarthralgies de type tendinopathie, une asthénie, un trouble du sommeil avec réveil nocturne, un dérouillage matinal, une désadaptation à l’effort et un trouble de la concentration, atteintes étant toutes apparues après le début de l’an- née 2018, le Tribunal n’analysera pas plus avant la situation ayant mené au prononcé de la première décision de refus de prestations, mais s’inté- ressera immédiatement à la situation à compter de 2018, comme l’a du reste fait l’autorité inférieure.</w:t>
      </w:r>
    </w:p>
    <w:p>
      <w:r>
        <w:rPr>
          <w:b/>
        </w:rPr>
        <w:t>E. 8.1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w:t>
      </w:r>
    </w:p>
    <w:p>
      <w:r>
        <w:t>F-2350/2022 Page 10 quelle mesure et pour quelles activités la personne concernée est inca- pable de travailler, compte tenu de ses limitations (ATF 148 V 49 consid. 6.2.1 ; 143 V 418 consid. 6).</w:t>
      </w:r>
    </w:p>
    <w:p>
      <w:r>
        <w:rPr>
          <w:b/>
        </w:rPr>
        <w:t>E. 8.2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 ports médicaux (ATF 125 V 351 consid. 3b et 3c ; arrêt du TF 8C_425/2020 du 27 janvier 2021 consid. 2.3).</w:t>
      </w:r>
    </w:p>
    <w:p>
      <w:r>
        <w:rPr>
          <w:b/>
        </w:rPr>
        <w:t>E. 8.2.1</w:t>
      </w:r>
    </w:p>
    <w:p>
      <w:r>
        <w:t>Ainsi, le juge des assurances sociales doit examiner de manière ob- jective tous les moyens de preuve, quelle que soit leur provenance, puis décider si les documents à disposition permettent de porter un jugement valable sur le droit litigieux. A cet égard, l’élément déterminant pour recon- 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 sions du médecin sont dûment motivées (ATF 134 V 231 consid. 5.1;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(arrêts du TF 8C_225/2021 du 10 juin 2021 consid. 3.2 ; 9C_555/2017 du 22 novembre 2017 consid. 3.1).</w:t>
      </w:r>
    </w:p>
    <w:p>
      <w:r>
        <w:rPr>
          <w:b/>
        </w:rPr>
        <w:t>E. 8.2.2</w:t>
      </w:r>
    </w:p>
    <w:p>
      <w:r>
        <w:t>Le but des expertises interdisciplinaires est de recenser toutes les atteintes à la santé pertinentes et de regrouper en un résultat global les limitations de la capacité de travail qui en découlent (ATF 143 V 124 consid. 2.2.4 ; 137 V 210 consid. 1.2.4). Il en va de même en ce qui con- cerne la délimitation parfois difficile entre les états assurés au sens de l'art. 4 al. 1 LAI et les facteurs étrangers à l'invalidité. L'appréciation globale et définitive de l'état de santé et de la capacité de travail revêt ainsi une grande importance lorsqu'elle est effectuée sur la base d'une discussion consensuelle entre les médecins spécialistes qui participent à l'expertise. Une telle évaluation récapitulative basée sur une discussion consensuelle</w:t>
      </w:r>
    </w:p>
    <w:p>
      <w:r>
        <w:t>F-2350/2022 Page 11 entre les différents experts ou sous la direction d'un médecin responsable du cas pour rassembler et exposer les résultats des différentes spécialités est idéale, mais pas obligatoire (ATF 143 V 124 consid. 2.2.4 et les réfé- rences citées).</w:t>
      </w:r>
    </w:p>
    <w:p>
      <w:r>
        <w:rPr>
          <w:b/>
        </w:rPr>
        <w:t>E. 8.2.3</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 cernant la suite à donner à la demande de prestations. Ils ne posent pas de nouvelles conclusions médicales mais portent une appréciation sur celles déjà existantes (arrêt du TF 8C_616/2020 du 15 juin 2021 con- sid. 6.2.4 et les références citées).</w:t>
      </w:r>
    </w:p>
    <w:p>
      <w:r>
        <w:rPr>
          <w:b/>
        </w:rPr>
        <w:t>E. 8.2.4</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135 V 465 consid. 4.5 ; TF 9C_54/2021 du 25 février 2022 consid. 5.4). Toutefois, le simple fait qu’un rapport médical soit établi à la demande d’une partie et soit produit pendant la procédure ne justifie pas en soi des doutes quant à sa valeur probante (ATF 141 III 433 con- sid. 2.3).</w:t>
      </w:r>
    </w:p>
    <w:p>
      <w:r>
        <w:rPr>
          <w:b/>
        </w:rPr>
        <w:t>E. 9</w:t>
      </w:r>
    </w:p>
    <w:p>
      <w:r>
        <w:t>Il convient de rappeler que la recourante a déposé une demande de pres- tations pour adultes le 4 juillet 2019, en invoquant des polyarthralgies de type tendinopathie, une asthénie, un trouble du sommeil avec réveil noc- turne, un dérouillage matinal, une désadaptation à l’effort et un trouble de la concentration. Dans le cadre de son recours, l’assurée conteste la ca- pacité de travail retenue par l’OAIE pour déterminer sa capacité de gain, et plus particulièrement la valeur probante du rapport d’expertise bidiscipli- naire du 12 mars 2021 et dont l’OAIE reprend les conclusions, pour retenir une capacité de travail entière dans une activité adaptée, avec une baisse de rendement de 20%.</w:t>
      </w:r>
    </w:p>
    <w:p>
      <w:r>
        <w:rPr>
          <w:b/>
        </w:rPr>
        <w:t>E. 9.1.1</w:t>
      </w:r>
    </w:p>
    <w:p>
      <w:r>
        <w:t>Sur le plan rhumatologique, les médecins ayant eu l’occasion d’exa- miner la recourante ont notamment rédigé les rapports suivants.</w:t>
      </w:r>
    </w:p>
    <w:p>
      <w:r>
        <w:t>F-2350/2022 Page 12 Dans un rapport adressé le 10 juillet 2018 à l’assureur-maladie de la re- courante (OAIE, pce 40), la Dre E._______, spécialiste en médecine gé- nérale et médecin traitant de la recourante, fait état d’une suspicion de dia- gnostic de connectivité indifférenciée, en relevant notamment les po- lyarthralgies ainsi que la présence d’anticorps antinucléaires positifs. Dans son rapport, adressé le 27 novembre 2018 à l’assureur-maladie (OAIE, pce 40 p. 222 ss), la Dre E._______ confirme le diagnostic de con- nectivité préalablement suspecté. Elle considère toutefois que l’exercice d’une activité adaptée demeure exigible. Dans son rapport d’expertise (assessment) du 20 février 2019 (OAIE, pce 40 p. 186 ss), le Dr F._______, spécialiste en rhumatologie mandaté par l’assureur-maladie perte de gain de la recourante, considère que le dia- gnostic de polyarthrite rhumatoïde débutante paraît le plus approprié. Il se prononce également en défaveur d’une connectivité, malgré la présence d’anticorps antinucléaires positifs, et rejette les autres diagnostics pos- sibles, notamment ceux de lupus érythémateux disséminé et de lupus dis- coïde. Il considère de plus que l’état de santé de la recourante n’est pas encore stabilisé. Enfin, il fixe la capacité de travail à 50% avec une amélio- ration possible, si de nouvelles poussées inflammatoires n’émergent pas, pour atteindre une capacité de travail entière en septembre 2019. Dans son rapport du 17 avril 2019 (OAIE, pce 43), la Dre G._______, mé- decin au Service de médecine interne du Centre Hospitalier H._______, pose le diagnostic de lupus cutané articulaire probable, devant l’associa- tion des symptômes de polyarthralgies distales symétriques d’horaire in- flammatoire, de photosensibilité et d’anticorps antinucléaires fluctuants (entre 1/640 et 1/1280). Elle relève toutefois le manque d’un critère immu- nologique. Dans son rapport du 18 novembre 2019 (OAIE, pce 51), le Dr I._______, spécialiste en rhumatologie et en médecine du sport, retient le diagnostic de lupus cutanéo-articulaire depuis le mois d’avril 2018. Il relève à titre de limitations fonctionnelles un déficit d’attention et de concentration, des dou- leurs au port de charges ainsi que des douleurs globales. Il considère que sa patiente dispose d’une capacité de travail de quatre heures par jour, indépendamment de l’activité exercée. Dans son rapport du 8 juin 2020 (OAIE, pce 62), le Dr J._______, chef de clinique au Service de rhumatologie des Hôpitaux Universitaires</w:t>
      </w:r>
    </w:p>
    <w:p>
      <w:r>
        <w:t>F-2350/2022 Page 13 K._______, retient le diagnostic de connectivité indifférenciée avec des ar- thralgies. Dans son rapport du 16 juillet 2020 (OAIE, pce 63), le Dr L._______, spé- cialiste en psychiatrie, pose les diagnostics de syndrome anxiodépressif réactionnel / lupus (F32) et de personnalité anxieuse (F40). Il considère que sa patiente fait face à une maladie organique ayant des répercussions psychologiques et estime qu’une réorientation professionnelle s’impose. Dans son rapport reçu par l’OAIE le 10 août 2020 (OAIE, pce 67), la Dre E._______ retient le diagnostic de lupus et relève une asthénie, diffé- rentes douleurs (poignets, coudes, épaules, genoux, chevilles, hanche) ainsi qu’une perte de moral et un trouble de l’humeur et du sommeil. Elle considère que la capacité de travail de la recourante varie entre 20% et 60% en raison de la douleur et de la fatigue.</w:t>
      </w:r>
    </w:p>
    <w:p>
      <w:r>
        <w:rPr>
          <w:b/>
        </w:rPr>
        <w:t>E. 9.1.2</w:t>
      </w:r>
    </w:p>
    <w:p>
      <w:r>
        <w:t>Dans son rapport d’expertise du 12 mars 2021 (OAIE, pce 89), le Dr B._______, spécialiste en médecine interne et rhumatologie, retient le diagnostic incapacitant de connectivité indifférenciée (M35). Il écarte le dia- gnostic de lupus érythémateux systémique, ainsi que le diagnostic de po- lyarthrite rhumatoïde débutante. Enfin, il écarte le diagnostic de myosite, faute d’atteinte viscérale certaine, et souligne l’absence de syndrome in- flammatoire sanguin et de cytopénie, ainsi que le fait que les anticorps an- tinucléaires soient dans la norme. A titre de diagnostics non-incapacitants, l’expert retient un status après toxidermie sévère ainsi qu’un status après lésion avec arrachement partiel du tendon du psoas au niveau du petit tro- chanter suite à une chute. Il considère par ailleurs les plaintes de la recourante comme cohérentes et plausibles, compte tenu du dossier et de l’anamnèse, et fixe la capacité de travail à 50% dans son activité habituelle. S’agissant de la capacité de tra- vail dans une activité adaptée, l’expert considère que celle-ci est entière, avec une diminution de rendement de 20%, tant que les limitations fonc- tionnelles (port des charges supérieures à cinq kilos fréquent, marche pro- longée, mouvements répétés et en force sollicitant les articulations digi- tales et des poignets) sont respectées. Il estime enfin que cette capacité de travail dans une activité adaptée est présente depuis le 1er octobre 2019.</w:t>
      </w:r>
    </w:p>
    <w:p>
      <w:r>
        <w:rPr>
          <w:b/>
        </w:rPr>
        <w:t>E. 9.1.3</w:t>
      </w:r>
    </w:p>
    <w:p>
      <w:r>
        <w:t>En l’espèce, le Tribunal prend acte de l’opinion de la recourante selon laquelle l’expert se contredit dans son expertise, en excluant puis en rete- nant le diagnostic de connectivité indifférenciée. Cela étant, à la lecture du</w:t>
      </w:r>
    </w:p>
    <w:p>
      <w:r>
        <w:t>F-2350/2022 Page 14 rapport d’expertise, force est de constater que l’expert est demeuré cons- tant dans son appréciation selon laquelle ce diagnostic doit être retenu, quand bien même il considère que cette connectivité indifférenciée n’est que modérément active au moment de l’expertise. S’agissant ensuite du diagnostic de lupus érythémateux, l’expert a souligné que les critères de classification internationaux n’étaient pas remplis, de sorte que ce diagnostic ne pouvait être retenu. A cet égard, la critique de la recourante selon laquelle l’expert a écarté ce diagnostic, « de manière péremptoire » et sans s’expliquer, tombe à faux. Par surabondance, on re- lèvera que l’expert mandaté par l’assureur-maladie en 2019 avait égale- ment écarté le diagnostic de lupus érythémateux. Face à l’opinion de deux spécialistes, formulée après examen de la recourante et analyse du dos- sier, les diagnostics posés par les médecins de la recourante, lesquels ne sont au demeurant pas motivés, pouvaient dès lors être écartés. S’agissant enfin du diagnostic de polyarthrite rhumatoïde débutante, re- tenu par le Dr F._______ et exclu par l’expert, celui-ci a justifié sa position en soulignant l’absence de toute synovite documentée, tant par le passé que lors de son examen de la recourante en date du 26 janvier 2021. Cela étant, le Dr F._______, s’il a effectivement retenu le diagnostic de polyar- thrite rhumatoïde débutante, a souligné dans son expertise que celui-ci « paraissait le plus approprié », ainsi qu’avoir « plutôt observé un tableau évoquant un tel diagnostic », expressions ne faisant pas état d’une franche certitude. Par ailleurs, si le Dr F._______ retient que les critères de polyar- thrite rhumatoïde débutante sont remplis, ceux-ci le sont de manière mini- mum (score de six sur dix, avec un score minimum nécessaire de six). En outre, aucun des autres médecins ayant examiné la recourante n’a jamais considéré que ce diagnostic devait être retenu. Dès lors, le fait que l’expert n’ait pas retenu ce diagnostic, en justifiant sa position, ne saurait être criti- qué, d’autant plus qu’il avait connaissance du rapport du Dr F._______ et en a tenu compte dans le cadre de son appréciation. Enfin, le rapport du 12 septembre 2022 du Dr I._______ (act. TAF 13), pro- duit en cours de procédure, ne permet pas de remettre en cause les con- clusions du Dr B._______. En effet, indépendamment des discussions entre médecins relatives au diagnostic, le Dr I._______ remettant en cause le diagnostic retenu par l’expert, force est de constater que celui-ci ne con- teste par contre pas les conclusions de l’expert quant à la capacité de tra- vail de sa patiente ou aux limitations fonctionnelles qu’elle rencontrerait dans le cadre d’une activité professionnelle, de sorte que les conclusions de l’expert peuvent être suivies sur ces questions.</w:t>
      </w:r>
    </w:p>
    <w:p>
      <w:r>
        <w:t>F-2350/2022 Page 15 Au vu de l’ensemble de ce qui précède, le Tribunal peut suivre les conclu- sions convaincantes et motivées de l’expert et retenir la valeur probante du volet rhumatologique du rapport d’expertise du 12 mars 2021.</w:t>
      </w:r>
    </w:p>
    <w:p>
      <w:r>
        <w:rPr>
          <w:b/>
        </w:rPr>
        <w:t>E. 9.2</w:t>
      </w:r>
    </w:p>
    <w:p>
      <w:r>
        <w:t>S’agissant du volet psychiatrique de l’expertise bidisciplinaire du</w:t>
      </w:r>
    </w:p>
    <w:p>
      <w:r>
        <w:rPr>
          <w:b/>
        </w:rPr>
        <w:t>E. 9.3</w:t>
      </w:r>
    </w:p>
    <w:p>
      <w:r>
        <w:t>Enfin, la recourante reproche aux experts de ne pas avoir procédé à une évaluation consensuelle, alors que tel était requis par le mandat de l’OAIE. Cela étant, le Tribunal constate que le rapport d’expertise débute précisé- ment par une « évaluation consensuelle », de sorte que la recourante ne saurait être suivie dans sa critique. Par ailleurs, quand bien même les ex- perts n’auraient pas procédé à une telle évaluation consensuelle, leurs conclusions auraient tout de même pu être suivies, compte tenu de la ju- risprudence en la matière (cf. supra consid. 8.2.2).</w:t>
      </w:r>
    </w:p>
    <w:p>
      <w:r>
        <w:rPr>
          <w:b/>
        </w:rPr>
        <w:t>E. 9.4</w:t>
      </w:r>
    </w:p>
    <w:p>
      <w:r>
        <w:t>Sur le vu de l’ensemble de ce qui précède, c’est à bon droit que l’auto- rité inférieure a estimé que la recourante était en mesure de travailler à</w:t>
      </w:r>
    </w:p>
    <w:p>
      <w:r>
        <w:t>F-2350/2022 Page 16 temps plein, avec une baisse de rendement de 20% pour tenir compte des arthralgies récidivantes inopinées et des troubles du sommeil. Le Tribunal a en outre eu la possibilité de se convaincre que les faits mis en évidence par l’instruction menée par l’autorité inférieure présentent un degré de vraisemblance prépondérante et que d’autres mesures proba- toires ne pourront plus modifier son appréciation (cf. supra consid. 4.2). Dans ces conditions, les requêtes de la recourante, tendant à l’audition de témoins et de la recourante ainsi qu’à la mise en œuvre de mesures d’ob- servations professionnelles judiciaires et d’une expertise médicale bidisci- plinaire (rhumatologique et psychiatrique) judiciaire, doivent être rejetées. 10. Il reste à déterminer si le taux d’invalidité de 22% dans une activité adaptée à compter du 1er octobre 2019 peut être confirmé. Pour aboutir à ce taux, l’OAIE a recouru à la méthode mixte et considéré que l’assurée présentait une invalidité de 5,9% dans son activité ménagère et de 16% dans une activité professionnelle adaptée. Le choix de la méthode de calcul n’est pas remis en cause par la recou- rante. Il est par ailleurs conforme au droit (cf. supra consid. 6.3), l’intéres- sée ayant travaillé à 80% avant son atteinte à la santé et n’envisageant pas un changement de taux d’activité. 10.1 Dans sa décision du 11 mai 2022, l’OAIE a considéré que la recou- rante serait en mesure de retrouver une activité adaptée à ses limitations, en tant qu’infirmière, notamment en service ambulatoire ou comme coordi- natrice de transplantation, de sorte qu’il n’était pas nécessaire de procéder à un calcul détaillé. L’autorité inférieure a dès lors retenu que celle-ci pré- sentait un empêchement de travailler de 20% dans son activité profession- nelle, soit un degré d’invalidité dans la sphère professionnelle global de 16% pour un taux d’activité de 80% avec une perte de rendement de 20%. 10.2 Pour sa part, la recourante conteste cette manière de procéder, con- sidérant que sa requalification en tant qu’infirmière « administrative » en- traînera une baisse de ses revenus, s’appuyant pour ce faire sur la CCT applicable au canton (…) pour les infirmières d’établissements privés. Elle estime également qu’il est irréaliste de se baser sur le revenu qu’elle réali- sait avant son atteinte à la santé, en se contentant de déduire la perte de rendement fixée par les experts.</w:t>
      </w:r>
    </w:p>
    <w:p>
      <w:r>
        <w:t>F-2350/2022 Page 17 Compte tenu de ces considérations, la recourante est d’avis qu’il convient de procéder au calcul du degré d’invalidité dans l’activité professionnelle en recourant aux tableaux statistiques usuels de l’Office fédéral de la sta- tistique 2018 (OFS ; TA1_tirage_skill_level) et en tenant compte d’un abat- tement de 20% au vu des limitations qu’elle rencontre. A titre principal, elle estime qu’une activité d’infirmière n’est plus exigible et se réfère ainsi à la ligne « totale » pour les femmes de niveau un et, à titre subsidiaire, à la ligne « santé humaine et action sociale » (86-88), pour calculer son degré d’invalidité. 11. 11.1 De jurisprudence constante, le revenu d'invalide doit être évalué avant tout en fonction de la situation professionnelle concrète de l'intéressé. En l'absence d'un revenu effectivement réalisé – soit lorsque la personne as- surée, après la survenance de l'atteinte à la santé, n'a pas repris d'activité lucrative ou alors aucune activité normalement exigible –, le revenu d'inva- lide peut être évalué sur la base de salaires fondés sur les données statis- tiques résultant de l'Enquête suisse sur la structure des salaires (cf. ATF 139 V 592 consid. 2.3 ; arrêt du TF 9C_149/2023 du 5 juillet 2023 consid. 9.2.1). Lorsqu'il s'agit d'examiner dans quelle mesure un assuré peut encore ex- ploiter économiquement sa capacité de gain résiduelle sur le marché du travail entrant en considération pour lui (art. 16 LPGA), on ne saurait su- bordonner la concrétisation des possibilités de travail et des perspectives de gain à des exigences excessives (ATF 138 V 457 consid. 3.1; arrêt du TF 8C_772/2020 du 9 juillet 2021 consid. 3.3) ; la jurisprudence relève à cet égard que la notion de marché du travail équilibré est une notion théo- rique et abstraite qui sert de critère de distinction entre les cas tombant sous le coup de l'assurance-chômage et ceux qui relèvent de l'assurance- invalidité ;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(arrêts du TF 9C_597/2018 du 18 janvier 2019 consid. 5.2; 9C_326/2018 du 5 octobre 2018 consid. 6.1). On ne saurait certes se fon- der sur des possibilités de travail irréalistes, mais il ne faut pas non plus poser des exigences excessives à la concrétisation des possibilités de tra- vail et des perspectives de gain ; cet examen s'effectue de façon d'autant plus approfondie que le profil d'exigibilité est défini de manière restrictive (arrêt du TF 8C_240/2021 du 15 septembre 2021 consid. 3 et les réfé- rences citées).</w:t>
      </w:r>
    </w:p>
    <w:p>
      <w:r>
        <w:t>F-2350/2022 Page 18 11.2 En principe, il n'est pas admissible de déterminer le degré d'invalidité sur la base de la simple évaluation médico-théorique de la capacité de tra- vail de la personne assurée, car cela reviendrait à déduire de manière abs- traite le degré d'invalidité de l'incapacité de travail, sans tenir compte de l'incidence économique de l'atteinte à la santé (arrêts du TF 9C_584/2017 du 17 juillet 2018 consid. 3.3 ; 9C_2602013 du 9 août 2013 consid. 4.2). Il découle par conséquent de la notion d'invalidité que ce n'est pas l'atteinte à la santé en soi qui est assurée, mais bien plutôt les conséquences éco- nomiques de celle-ci, c'est-à-dire une incapacité de gain qui sera proba- blement permanente ou du moins de longue durée (cf. art. 8 LPGA). La jurisprudence a encore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 il était superflu de les chiffrer avec exactitude. En pareil cas, le degré d'invalidité se confondait avec celui de l'incapacité de travail, sous réserve d'une éventuelle réduction du re- venu d'invalide afin de tenir compte de l'ensemble des circonstances per- sonnelles et professionnelles du cas particulier (arrêt du TF 8C_3/2022 du 18 janvier 2023 consid. 6.3.3 et les références citées). 11.3 La mesure dans laquelle les salaires ressortant des statistiques doi- vent être réduits, le cas échéant, au titre du désavantage salarial supplé- mentaire, dépend de l'ensemble des circonstances personnelles et profes- sionnelles du cas particulier (limitations liées au handicap, âge, années de service, nationalité/catégorie d'autorisation de séjour et taux d'occupation) et résulte d'une évaluation dans les limites du pouvoir d'appréciation (ATF 148 V 419 consid. 5.3). En revanche, l'exercice d'une activité à taux partiel ou le long éloignement du marché du travail ne sont pas des facteurs d'abattement au sens de la jurisprudence, tout comme d’éventuelles res- trictions liées à la santé déjà prises en compte dans l’évaluation de la ca- pacité de travail (ATF 148 V 174 consid. 6.3). Une déduction globale maxi- mum de 25% sur le salaire statistique permet de tenir compte des différents éléments qui peuvent influencer le revenu d'une activité lucrative (ATF 148 V 419 consid. 5.1).</w:t>
      </w:r>
    </w:p>
    <w:p>
      <w:r>
        <w:rPr>
          <w:b/>
        </w:rPr>
        <w:t>E. 11.1</w:t>
      </w:r>
    </w:p>
    <w:p>
      <w:r>
        <w:t>De jurisprudence constante, le revenu d'invalide doit être évalué avant tout en fonction de la situation professionnelle concrète de l'intéressé.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ATF 139 V 592 consid. 2.3 ; arrêt du TF 9C_149/2023 du 5 juillet 2023 consid. 9.2.1).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(ATF 138 V 457 consid. 3.1; arrêt du TF 8C_772/2020 du 9 juillet 2021 consid. 3.3) ; la jurisprudence relève à cet égard que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(arrêts du TF 9C_597/2018 du 18 janvier 2019 consid. 5.2; 9C_326/2018 du 5 octobre 2018 consid. 6.1).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(arrêt du TF 8C_240/2021 du 15 septembre 2021 consid. 3 et les références citées).</w:t>
      </w:r>
    </w:p>
    <w:p>
      <w:r>
        <w:rPr>
          <w:b/>
        </w:rPr>
        <w:t>E. 11.2</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(arrêts du TF 9C_584/2017 du 17 juillet 2018 consid. 3.3 ; 9C_2602013 du 9 août 2013 consid. 4.2). Il découle par conséquent de la notion d'invalidité que ce n'est pas l'atteinte à la santé en soi qui est assurée, mais bien plutôt les conséquences économiques de celle-ci, c'est-à-dire une incapacité de gain qui sera probablement permanente ou du moins de longue durée (cf. art. 8 LPGA). La jurisprudence a encore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 il était superflu de les chiffrer avec exactitude. En pareil cas, le degré d'invalidité se confondait avec celui de l'incapacité de travail, sous réserve d'une éventuelle réduction du revenu d'invalide afin de tenir compte de l'ensemble des circonstances personnelles et professionnelles du cas particulier (arrêt du TF 8C_3/2022 du 18 janvier 2023 consid. 6.3.3 et les références citées).</w:t>
      </w:r>
    </w:p>
    <w:p>
      <w:r>
        <w:rPr>
          <w:b/>
        </w:rPr>
        <w:t>E. 11.3</w:t>
      </w:r>
    </w:p>
    <w:p>
      <w:r>
        <w:t>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(ATF 148 V 419 consid. 5.3). En revanche, l'exercice d'une activité à taux partiel ou le long éloignement du marché du travail ne sont pas des facteurs d'abattement au sens de la jurisprudence, tout comme d'éventuelles restrictions liées à la santé déjà prises en compte dans l'évaluation de la capacité de travail (ATF 148 V 174 consid. 6.3). Une déduction globale maximum de 25% sur le salaire statistique permet de tenir compte des différents éléments qui peuvent influencer le revenu d'une activité lucrative (ATF 148 V 419 consid. 5.1).</w:t>
      </w:r>
    </w:p>
    <w:p>
      <w:r>
        <w:rPr>
          <w:b/>
        </w:rPr>
        <w:t>E. 12</w:t>
      </w:r>
    </w:p>
    <w:p>
      <w:r>
        <w:t>En l’espèce, la manière de procéder de l’OAIE ne peut être suivie, la recourante ayant exercé une activité lucrative avant la survenance de son atteinte à la santé et le revenu qu’elle serait en mesure de réaliser dans une activité adaptée, par exemple en qualité d’infirmière administrative ou</w:t>
      </w:r>
    </w:p>
    <w:p>
      <w:r>
        <w:t>F-2350/2022 Page 19 en service ambulatoire, étant parfaitement estimable sur la base des sta- tistiques usuelles des données de l’OFS. Il convient dès lors de procéder au calcul du degré d’invalidité de la recou- rante sur la base du dossier.</w:t>
      </w:r>
    </w:p>
    <w:p>
      <w:r>
        <w:rPr>
          <w:b/>
        </w:rPr>
        <w:t>E. 12.1</w:t>
      </w:r>
    </w:p>
    <w:p>
      <w:r>
        <w:t>S’agissant en premier lieu du revenu sans invalidité, celui-ci peut être déterminé sur la base du questionnaire rempli par l’employeur le 23 août 2019. Celui-ci fait état d’un revenu annuel pour l’année 2019 de 85'148,70 francs, correspondant à un équivalent plein temps (40 heures par semaine) de 106'435,85 francs, soit 8'869,65 francs par mois, montant qui peut être repris tel quel.</w:t>
      </w:r>
    </w:p>
    <w:p>
      <w:r>
        <w:rPr>
          <w:b/>
        </w:rPr>
        <w:t>E. 12.2</w:t>
      </w:r>
    </w:p>
    <w:p>
      <w:r>
        <w:t>S’agissant ensuite du revenu avec invalidité, celui-ci doit être déter- miné, comme le requiert la jurisprudence, sur la base des tableaux statis- tiques de l’ESS pour les femmes. En l’espèce, vu les limitations fonction- nelles retenues par les experts (port des charges supérieures à cinq kilos fréquent, marche prolongée, mouvements répétés et en force sollicitant les articulations digitales et des poignets), la poursuite d’une activité dans le domaine de la santé demeure exigible de la part de la recourante. Par ailleurs, il appert que la recourante est au bénéfice d’une excellente formation. En effet, il ressort de son curriculum vitae (OAIE, pces 13 p. 40 et 89 p. 495) qu’elle est non seulement titulaire d’un diplôme d’Etat infir- mier, mais également qu’elle a bénéficié de très nombreuses formation in- tra-hospitalières, notamment en matière de manutention (établissement), de gestion de la douleur (N._______), de gestion du stress (N._______), de réanimation cardio-pulmonaire (établissement), d’incendie et mise en sécurité des patients (établissement), de transmission ciblée et orale (N._______), de gestion du patient diabétique types 1 et 2, d’accueil des patients et de leur famille, de prise en charge d’une personne atteinte d’une démence de type Alzheimer et de gestion des conflits et de la communica- tion des familles, ainsi que de sensibilisation aux soins palliatifs (O._______, P._______ et Q._______) et de dispensation de médicaments en EMS (R._______) (OAIE, pces 13 p. 40 et 89 p. 495). Ces excellentes qualifications se traduisent également dans le dernier sa- laire réalisé, puisque, comme déjà relevé, celui-ci se montait pour l’année 2019 à un équivalent plein temps de 106'434,60 francs par an, soit 8'869,55 francs par mois. Or, les statistiques de l’ESS 2018 estiment le revenu mensuel d’une femme travaillant dans le domaine de la santé avec le plus haut niveau de compétence possible à 7’253.- francs. De même, la</w:t>
      </w:r>
    </w:p>
    <w:p>
      <w:r>
        <w:t>F-2350/2022 Page 20 grille des salaires CCT Clinique privée M._______ 2017, sur laquelle la recourante propose de se baser pour déterminer le salaire qu’elle serait en mesure de réaliser, chiffre la plus haute classe de salaire d’une infirmière diplômée avec spécialisation à 6'023.- francs. Il est dès lors admissible de considérer que, compte tenu des nombreuses formations suivies et d’une expérience professionnelle de plus de vingt ans dans le domaine des soins médicaux, la recourante soit en mesure de re- trouver un poste adapté à ses limitations, impliquant une capacité à ré- soudre des problèmes complexes et à prendre des décisions fondées sur un vaste ensemble de connaissances théoriques et factuelles dans un do- maine spécialisé. Dès lors, il sera retenu un niveau de compétences de 4 dans les tableaux statistiques. Compte tenu de ces différents éléments, le revenu avec invalidité de la recourante doit être calculé sur la base du salaire mensuel brut réalisé par une femme dans le domaine de la santé avec un niveau de compétence 4, soit 7’253.- francs, et indexé selon l’Indice des prix à la consommation pour obtenir un salaire en 2019 de 7'296.- francs par mois. Compte tenu encore de la perte de rendement de 20% déterminée par les experts, la recourante est ainsi en mesure de réaliser un revenu avec invalidité en équivalent plein temps de 5'837.- francs. Contrairement à ce que prétend la recourante, il ne se justifie pas de pro- céder à un abattement supplémentaire sur ce revenu, les limitations fonc- tionnelles ayant été prises en compte dans le choix de la catégorie de re- venu et la fatigue et les douleurs que l’intéressée rencontre se traduisant dans la perte de rendement.</w:t>
      </w:r>
    </w:p>
    <w:p>
      <w:r>
        <w:rPr>
          <w:b/>
        </w:rPr>
        <w:t>E. 12.3</w:t>
      </w:r>
    </w:p>
    <w:p>
      <w:r>
        <w:t>Sur la base d’un revenu sans invalidité de 8'869,65 francs par mois et d’un revenu avec invalidité de 5'837.- francs par mois, la perte de gain de la recourante dans son activité professionnelle (80%) peut être fixée à 27,4% ([8'869,65 – 5'837.-] x 100 / 8'869,65 x 80%). A cela s’ajoute le taux d’invalidité de la recourante dans l’exercice de ses tâches ménagères que l’autorité intimée a fixé à 5,9% et que la recourante ne conteste pas. Celui-ci, reprenant les résultats de l’enquête économique sur le ménage du 17 novembre 2021, correspond aux exigences jurispru- dentielles en la matière et peut être repris tel quel.</w:t>
      </w:r>
    </w:p>
    <w:p>
      <w:r>
        <w:t>F-2350/2022 Page 21 Dès lors, le degré d’invalidité total de la recourante peut être fixé à 34%, soit un degré d’invalidité insuffisant pour permettre l’octroi d’une rente (cf. supra consid. 6.2).</w:t>
      </w:r>
    </w:p>
    <w:p>
      <w:r>
        <w:rPr>
          <w:b/>
        </w:rPr>
        <w:t>E. 13</w:t>
      </w:r>
    </w:p>
    <w:p>
      <w:r>
        <w:t>En dépit de la substitution de motifs, rendue nécessaire par l’approche er- ronée de l’OAIE dans le calcul du degré d’invalidité, il résulte de ce qui précède que le recours doit être rejeté et la décision du 11 mai 2022 con- firmée.</w:t>
      </w:r>
    </w:p>
    <w:p>
      <w:r>
        <w:rPr>
          <w:b/>
        </w:rPr>
        <w:t>E. 13.1</w:t>
      </w:r>
    </w:p>
    <w:p>
      <w:r>
        <w:t>Vu l'issue du litige, les frais judiciaires – fixés à 800.- francs – sont mis à la charge de la recourante (art. 63 PA en relation avec les art. 2 ss du règlement du 21 février 2008 concernant les frais, dépens et indemnités fixés par le Tribunal administratif fédéral [FITAF, RS 173.320.2]). Ils sont prélevés sur l'avance de frais du même montant dont elle s'est acquittée au cours de l'instruction.</w:t>
      </w:r>
    </w:p>
    <w:p>
      <w:r>
        <w:rPr>
          <w:b/>
        </w:rPr>
        <w:t>E. 13.2</w:t>
      </w:r>
    </w:p>
    <w:p>
      <w:r>
        <w:t>Il n'est pas alloué de dépens (art. 7 al. 1 a contrario et 7 al. 3 FITAF). (dispositif en page suivante)</w:t>
      </w:r>
    </w:p>
    <w:p>
      <w:r>
        <w:t>F-2350/2022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