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F-2339/2022 vom 16. Mai 2022</w:t>
      </w:r>
    </w:p>
    <w:p>
      <w:r>
        <w:t>Bundesverwaltungsgericht, 2022-05-16, DE</w:t>
      </w:r>
    </w:p>
    <w:p>
      <w:r>
        <w:rPr>
          <w:b/>
        </w:rPr>
        <w:t xml:space="preserve">Quelle: </w:t>
      </w:r>
      <w:r>
        <w:t>https://mcp.opencaselaw.ch/entscheid/bvger_F-2339_2022_d20220516</w:t>
      </w:r>
    </w:p>
    <w:p>
      <w:r>
        <w:t>FR: TAF F-2339/2022 du 16 mai 2022</w:t>
      </w:r>
    </w:p>
    <w:p>
      <w:r>
        <w:t>IT: TAF F-2339/2022 del 16 maggio 2022</w:t>
      </w:r>
    </w:p>
    <w:p>
      <w:pPr>
        <w:pStyle w:val="Heading2"/>
      </w:pPr>
      <w:r>
        <w:t>Regeste</w:t>
      </w:r>
    </w:p>
    <w:p>
      <w:r>
        <w:t>Nichteintreten auf Asylgesuch und Wegweisung (Dublin-Verfahren) | Nichteintreten auf Asylgesuch und Wegweisung (Dublin-Verfahren); Verfügung des SEM vom 16. Mai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anzunehmen ist, dieser Staat anerkenne und schütze weiterhin die Rechte, die sich für Schutzsuchende aus den Richtlinien des Europäi-</w:t>
      </w:r>
    </w:p>
    <w:p>
      <w:r>
        <w:t>F-2339/2022 Seite 7 schen Parlaments und des Rates 2013/32/EU vom 26. Juni 2013 zu ge- meinsamen Verfahren für die Zuerkennung und Aberkennung des interna- tionalen Schutzes (sog. Verfahrensrichtlinie, ABl. L 180/96 vom 29.6.2013) sowie 2013/33/EU vom 26. Juni 2013 zur Festlegung von Normen für die Aufnahme von Personen, die internationalen Schutz beantragen (sog. Auf- nahmerichtlinie, ABl. L 180/96 vom 29.6.2013) ergeben, dass zwar die Vermutung, Slowenien halte seine völker- und gemein- schaftsrechtlichen Verpflichtungen ein, im Einzelfall widerlegt werden kann, es hierfür aber konkreter und ernsthafter Hinweise bedarf, die gege- benenfalls vom Betroffenen glaubhaft darzutun sind (vgl. BVGE 2010/45 E. 7.4 f.), dass der Beschwerdeführer mit seiner apodiktischen, nicht substantiierten und in sich nicht schlüssigen Behauptung, Slowenien habe in den vergan- genen Jahren mehrere kurdische Asylsuchende in die Türkei zurückge- schickt, weshalb ihm im Falle einer Überstellung nach Slowenien «mit an Sicherheit grenzender Wahrscheinlichkeit» eine Ausschaffung in die Türkei drohe, offenkundig nichts geltend macht, was die Vermutung einer völker- und gemeinschafsrechtskonformer Behandlung durch Slowenien ernsthaft erschüttern könnte, dass andere Gründe, die der Schweiz Anlass geben würden, von ihrem Selbsteintrittsrecht nach Art. 17 Abs. 1 Satz 1 Dublin-III-VO Gebrauch zu machen, weder geltend gemacht werden noch ersichtlich sind, wobei an dieser Stelle festzuhalten bleibt, dass die Dublin-III-VO den Schutzsuchen- den kein Recht einräumt, den ihren Antrag prüfenden Staat selber auszu- wählen (vgl. auch BVGE 2010/45 E. 8.3), dass die Vorinstanz demnach zu Recht in Anwendung von Art. 31a Abs. 1 Bst. b AsylG auf das Asylgesuch des Beschwerdeführers nicht eingetreten ist und in Anwendung von Art. 44 AsylG die Überstellung nach Slowenien angeordnet hat,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der Vorinstanz zu bestätigen ist,</w:t>
      </w:r>
    </w:p>
    <w:p>
      <w:r>
        <w:t>F-2339/2022 Seite 8 dass das Beschwerdeverfahren mit vorliegendem Urteil abgeschlossen ist, weshalb sich der Antrag auf Gewährung der aufschiebenden Wirkung als gegenstandslos erweist, dass das Gesuch um Gewährung der unentgeltlichen Prozessführung ab- zuweisen ist, da die Begehren – wie sich aus den vorstehenden Erwägun- gen ergibt – als aussichtlos zu bezeichnen waren, weshalb die Vorausset- 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F-2339/2022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