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F-2338/2018 vom 28. September 2018</w:t>
      </w:r>
    </w:p>
    <w:p>
      <w:r>
        <w:t>Bundesverwaltungsgericht, 2018-09-28, DE</w:t>
      </w:r>
    </w:p>
    <w:p>
      <w:r>
        <w:rPr>
          <w:b/>
        </w:rPr>
        <w:t xml:space="preserve">Quelle: </w:t>
      </w:r>
      <w:r>
        <w:t>https://mcp.opencaselaw.ch/entscheid/bvger_F-2338_2018</w:t>
      </w:r>
    </w:p>
    <w:p>
      <w:r>
        <w:t>FR: TAF F-2338/2018 du 28 septembre 2018</w:t>
      </w:r>
    </w:p>
    <w:p>
      <w:r>
        <w:t>IT: TAF F-2338/2018 del 28 settembre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vorerst eine Verletzung des Anspruchs auf rechtliches Gehör. Bisher habe keine Überprüfung des Vorfalls bzw. des Vorwurfs der unbewilligten Erwerbstätigkeit vorgenommen werden können. Aufgrund fehlender Sprachkenntnisse habe die Polizei den Beschwerdeführer nicht befragen können. Auf eine Befragung der sprachkundigen Inhaber des Restaurants habe sie hingegen verzichtet. Das SEM habe bereits einen Tag nach der Arbeitsmarktkontrolle ein Einreiseverbot über den Beschwerdeführer verhängt. Dabei habe es sich auf die Feststellung in den kantonalen Akten abgestützt, wonach der Beschwerdeführer in der Schweiz "illegal tätig" gewesen sei. Die Feststellungen der Arbeitsmarktkontrolle sowie diejenigen der Polizei seien jedoch nicht ansatzweise fundiert genug, um einen Rückschluss auf die diesbezügliche Strafbarkeit oder ein Fehlverhalten des Beschwerdeführers zu zulassen. Die angefochtene Verfügung stelle daher eine Vorverurteilung des Beschwerdeführers dar. Dies widerspreche dem Grundsatz des fairen Verfahrens (Art. 29 BV) sowie dem Grundrecht der Willkürfreiheit (Art. 9 BV).</w:t>
      </w:r>
    </w:p>
    <w:p>
      <w:r>
        <w:rPr>
          <w:b/>
        </w:rPr>
        <w:t>E. 3.2</w:t>
      </w:r>
    </w:p>
    <w:p>
      <w:r>
        <w:t>Der Anspruch auf rechtliches Gehör, wie ihn Lehre und Rechtspre-chung aus Art. 29 Abs. 2 BV ableiten und wie er sich für das Bundesver-waltungsverfahren aus den Art. 29 ff. VwVG ergibt, umfasst eine Anzahl verschiedener verfassungsrechtlicher Verfahrensgarantien (vgl. ALBERTI-NI, Der verfassungsmässige Anspruch auf rechtliches Gehör im Verwal-tungsverfahren des modernen Staates, 2000, S. 202 ff.). Dazu gehört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m.H.). Bei Verfahren, welche auf Antrag der Partei eingeleitet werden, ist die Untersuchungsmaxime durch die Mitwirkungspflicht nach Art. 13 VwVG eingeschränkt. (PATRICK SUTTER, in: Auer/Müller/Schindler, Kommentar VwVG, 2008, Art. 30 Rz. 7).</w:t>
      </w:r>
    </w:p>
    <w:p>
      <w:r>
        <w:rPr>
          <w:b/>
        </w:rPr>
        <w:t>E. 3.3</w:t>
      </w:r>
    </w:p>
    <w:p>
      <w:r>
        <w:t>Wie bereits in der Zwischenverfügung vom 4. Juni 2018 ausgeführt wurde, ist aus den Akten ersichtlich, dass der Beschwerdeführer zu Beginn der Einvernahme vom 18. April 2018 durch die Kantonspolizei die Frage, ob er eine Übersetzung brauche, verneinte ("Nein, ich verstehe Sie gut.") und erklärte, er sei in der Lage der Einvernahme zu folgen (vgl. BE-act. S. 3 f.). Auch sind dem Einvernahmeprotokoll - der Beschwerdeführer gab immerhin an, seit neun Jahren in die Schweiz zu kommen, um seine Ferien hier zu verbringen - keine Verständigungsprobleme zu entnehmen. Zudem wurde dem Beschwerdeführer im Sinne des rechtlichen Gehörs Gelegenheit gegeben, sich zu einer Wegweisung aus der Schweiz sowie zu einem Einreiseverbot bzw. einer Ein- und Ausgrenzung zu äussern. Demnach war das SEM bei der Beantragung der Fernhaltemassnahme im Besitz seiner diesbezüglichen Stellungnahme und hat von seinen entsprechenden Aussagen gebührend Stellung genommen. Ob hingegen die in der vorinstanzlichen Verfügung genannten Gründe zutreffen und ob der rechtserhebliche Sachverhalt hinreichend sorgfältig abgeklärt wurde, ist eine Frage der sachverhaltlichen und rechtlichen Überprüfung (vgl. Urteil des BGer 2C_270/2015 vom 6. August 2015 E. 3.2). Unter den vorerwähnten Gesichtspunkten liegt damit keine Gehörsverletzung vor. Auch eine Verletzung des Fairnessgebotes ist nicht zu erkennen.</w:t>
      </w:r>
    </w:p>
    <w:p>
      <w:r>
        <w:rPr>
          <w:b/>
        </w:rPr>
        <w:t>E. 3.4</w:t>
      </w:r>
    </w:p>
    <w:p>
      <w:r>
        <w:t>Soweit die Beschwerde das Willkürverbot (Art. 9 BV) als verletzt rügt, ist festzuhalten, dass gemäss Lehre und Rechtsprechung Willkür nicht schon dann vorliegt,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Häfelin/Haller/Keller/Thurnheer, Schweizerisches Bundesstaatsrecht, 9. Aufl., 2016, Rz. 812 f. S. 238 f). Ferner muss die angeblich willkürliche Begründung rechtsgenüglich dargelegt werden. Diese Voraussetzungen sind vorliegend nicht erfüllt. Es ist für das Gericht nicht ersichtlich, dass und inwiefern die seitens des Beschwerdeführers als willkürlich bezeichnete Vorgehensweise des SEM unter die obgenannte Definition zu subsumieren wäre. Vielmehr ist - auch unter Berücksichtigung der nachfolgenden Erwägungen - festzustellen, dass insbesondere das Ergebnis der bemängelten Rechtsanwendung unter rechtsstaatlichen Gesichtspunkten durchaus vertretbar ist. Die Rüge, wonach das SEM das Willkürverbot verletzt habe, ist daher als unbegründet zu qualifizieren.</w:t>
      </w:r>
    </w:p>
    <w:p>
      <w:r>
        <w:rPr>
          <w:b/>
        </w:rPr>
        <w:t>E. 4.1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vollständigoder vorübergehend aufheben (Abs. 5).</w:t>
      </w:r>
    </w:p>
    <w:p>
      <w:r>
        <w:rPr>
          <w:b/>
        </w:rPr>
        <w:t>E. 4.2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etwa Urteil des BVGer F-954/2016 vom 3. August 2016 E. 3.2 m.H.).</w:t>
      </w:r>
    </w:p>
    <w:p>
      <w:r>
        <w:rPr>
          <w:b/>
        </w:rPr>
        <w:t>E. 4.3</w:t>
      </w:r>
    </w:p>
    <w:p>
      <w:r>
        <w:t>Einen Verstoss gegen die öffentliche Sicherheit und Ordnung im Sinne von Art. 67 Abs. 2 Bst. a AuG begeht u.a. auch, wer Normen des Ausländer-rechts zuwiderhandelt (vgl. Botschaft, a.a.O., S.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F-5736/2015 vom 6. Januar 2017 E. 5.3 m.H.).</w:t>
      </w:r>
    </w:p>
    <w:p>
      <w:r>
        <w:rPr>
          <w:b/>
        </w:rPr>
        <w:t>E. 4.4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w:t>
      </w:r>
    </w:p>
    <w:p>
      <w:r>
        <w:t>Die Vorinstanz wirft dem Beschwerdeführer in ihrer Verfügung vor, gegen Bestimmungen des Ausländerrechts verstossen zu haben, indem er ohne die erforderliche ausländerrechtliche Bewilligung erwerbstätig gewesen sei. Damit liege gemäss ständiger Praxis und Rechtsprechung ein Verstoss gegen die öffentliche Sicherheit und Ordnung im Sinne von Art. 67 Abs. 2 Bst. a AuG i.V.m. Art. 80 Abs. 1 Bst. a und Art. 80 Abs. 2 VZAE vor.</w:t>
      </w:r>
    </w:p>
    <w:p>
      <w:r>
        <w:rPr>
          <w:b/>
        </w:rPr>
        <w:t>E. 5.1</w:t>
      </w:r>
    </w:p>
    <w:p>
      <w:r>
        <w:t>Der ausländerrechtliche Begriff der Erwerbstätigkeit ist weit gefasst (vgl. Spescha, in: Spescha et al. [Hrsg.], Kommentar Migrationsrecht, 4. Aufl. 2015, N. 2 zu Art. 11 AuG). Als Erwerbstätigkeit im Sinne des Gesetzes gilt jede üblicherweise gegen Entgelt ausgeübte unselbständige oder selbständige Tätigkeit, selbst wenn sie unentgeltlich erfolgt (Art. 11 Abs. 2 AuG).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Rz 6). Ohne Belang für die Qualifikation als Erwerbstätigkeit ist dabei, ob die Beschäftigung nur stunden- oder tageweise oder vorübergehend ausgeübt wird (vgl. Art. 1a und 2 VZAE). Einschränkungen des Begriffs Erwerbstätigkeit können sich lediglich dort ergeben, wo der besondere Charakter der Hilfeleistung gerade durch die verwandtschaftliche und emotionale Nähe zwischen den Beteiligten gewährleistet ist und die ausführende Person daher nicht durch einen Dritten ersetzt werden könnte, ohne dass der besondere Charakter der Hilfeleistung verloren ginge (vgl. Urteil BVGer F-4130/2015 vom 16. September 2016 E. 6.2.2 m.H.).</w:t>
      </w:r>
    </w:p>
    <w:p>
      <w:r>
        <w:rPr>
          <w:b/>
        </w:rPr>
        <w:t>E. 5.2</w:t>
      </w:r>
    </w:p>
    <w:p>
      <w:r>
        <w:t>Der Beschwerdeführer wurde am 18. April 2018 anlässlich einer Arbeitsmarktkontrolle in der Küche eines Restaurants im Berner Seeland angetroffen, wo er mit Tellerwaschen beschäftigt war. Gemäss dem Einvernahmeprotokoll der Kantonspolizei gleichen Datums räumte der Beschwerdeführer verschiedene Hilfeleistungen ein ("... ich half bei meiner Familie, wenn sie viel zu tun hat." / "Als sie dann viel zu tun hatten, half ich in der Küche." / "Ich half nur beim Tellerwaschen, dies nicht regelmässig, nur wenn ich da war und sie viel zu tun hatten"). Auch am Tag der Kontrolle habe er in der Küche kurz ausgeholfen. Für seine Hilfe habe er aber keinen Lohn erhalten. Dass es in der Schweiz verboten sei, ohne eine entsprechende Bewilligung zu arbeiten, habe er nicht gewusst. (vgl. BE-act. S. 6).</w:t>
      </w:r>
    </w:p>
    <w:p>
      <w:r>
        <w:rPr>
          <w:b/>
        </w:rPr>
        <w:t>E. 5.3</w:t>
      </w:r>
    </w:p>
    <w:p>
      <w:r>
        <w:t>Unbestrittenermassen hat der Beschwerdeführer demnach ab und zu den Abwasch in der Restaurantküche seiner Familie erledigt und infolgedessen eine Tätigkeit erbracht, welche üblicherweise gegen Entgelt verrichtet wird. Die behauptete Unentgeltlichkeit seiner Hilfstätigkeit und deren Häufigkeit spielen in diesem Zusammenhang keine Rolle (zur weiten Fassung des Erwerbsbegriffs siehe E. 6.1 hievor). Vor dem aufgezeigten Hintergrund sieht es das Bundesverwaltungsgericht als erwiesen an, dass der Beschwerdeführer im beschriebenen Umfang einer Erwerbstätigkeit im Sinne von Art. 11 Abs. 2 AuG nachgegangen ist.</w:t>
      </w:r>
    </w:p>
    <w:p>
      <w:r>
        <w:rPr>
          <w:b/>
        </w:rPr>
        <w:t>E. 5.4</w:t>
      </w:r>
    </w:p>
    <w:p>
      <w:r>
        <w:t>Die Rechtsvertreterin wendet in der Beschwerdeschrift ein, der blosse Aufenthalt des Beschwerdeführers in der (Restaurant-) Küche mache ihn nicht schon zum "Schwarzarbeiter". Auch wenn man ihn "beim Abwasch gesichtet" habe, könne nach wie vor nicht zwingend von einem Erwerb die Rede sein. Er könnte gerade in diesem Moment auch lediglich seinen eigenen Teller abgewaschen haben, weil er seinen Verwandten nicht habe zur Last fallen wollen. Es sei Aufgabe der Staatsanwaltschaft darüber zu bestimmen, ob die Tatbestandsvoraussetzungen der unbewilligten Erwerbstätigkeit durch den Beschwerdeführer erfüllt worden sei. Dies sei bislang noch nicht ansatzweise geschehen.</w:t>
      </w:r>
    </w:p>
    <w:p>
      <w:r>
        <w:rPr>
          <w:b/>
        </w:rPr>
        <w:t>E. 5.5</w:t>
      </w:r>
    </w:p>
    <w:p>
      <w:r>
        <w:t>Auch diese Rüge des Beschwerdeführers ist nicht stichhaltig. Das Einreiseverbot knüpft direkt an die Störung der öffentlichen Sicherheit und Ordnung an und nicht an die Ahndung dieser Störungen durch den Strafrichter. Ob eine solche Störung vorliegt, entscheidet die Migrationsbehörde grundsätzlich in eigener Zuständigkeit und Verantwortung. Im Interesse der Rechtssicherheit und Rechtseinheit wird sie jedoch nicht ohne Not von den tatsächlichen Feststellungen des Strafrichters abweichen (vgl. BVGE 2013/33 E. 4.3) und sofern keine Gefahr im Verzug ist - den rechtkräftigen Abschluss des Strafverfahrens abwarten. Etwas anderes gilt, wenn der Sachverhalt unbestritten ist oder aufgrund der Akten keine Zweifel an ihm bestehen (vgl. Urteil des BVGer F-1473/2016 vom 15. Mai 2017 E. 4.3.1 m.w.H.). Es genügt mithin, wenn - wie vorliegend (siehe E. 6.2 vorne) - Verdachtsmomente vorliegen, die von den Behörden als hinreichend konkret erachtet werden. In Erinnerung zu rufen gilt es an dieser Stelle nochmals, dass es für die Anordnung von Fernhaltemassnahmen im fraglichen Bereich keines vorsätzlichen Verstosses gegen gesetzliche Bestimmungen bedarf (siehe E. 5.3 hiervor).</w:t>
      </w:r>
    </w:p>
    <w:p>
      <w:r>
        <w:rPr>
          <w:b/>
        </w:rPr>
        <w:t>E. 5.6</w:t>
      </w:r>
    </w:p>
    <w:p>
      <w:r>
        <w:t>Wie vorstehend ausgeführt, hat der Beschwerdeführer bei der polizeilichen Einvernahme eingeräumt, ab und zu in der Restaurantküche ausgeholfen zu haben (vgl. E. 6.2). Seine Angst vor allfälligen Konsequenzen dürfte ihn dazu veranlasst haben, die von ihm vorgenommen Tätigkeiten immer wieder zu bagatellisieren (vgl. etwa BE-act. S. 6: "...ich half nur ein bisschen in der Küche aus. Ich habe nicht gearbeitet."). Zweifellos dürfte diese Motivation auch den Bestreitungsvermerken zugrunde liegen, die er in seiner Beschwerde sowie in der Replik erhoben hat, weshalb diese als reine Schutzbehauptungen zu werten sind.</w:t>
      </w:r>
    </w:p>
    <w:p>
      <w:r>
        <w:rPr>
          <w:b/>
        </w:rPr>
        <w:t>E. 5.7</w:t>
      </w:r>
    </w:p>
    <w:p>
      <w:r>
        <w:t>Zusammenfassend stellt das Bundesverwaltungsgericht fest, dass der Beschwerdeführer am 18. April 2018 einer Erwerbstätigkeit im Sinne des Gesetzes nachgegangen ist ohne im Besitze der hierfür erforderlichen Bewilligung zu sein (Art. 115 Abs. 1 Bst. c AuG i.V.m. Art. 11 Abs. 2 AuG und Art. 1a und 2 VZAE). Damit hat er gegen die öffentliche Sicherheit und Ordnung verstossen und einen hinreichenden Anlass zur Verhängung eines Einreiseverbots bewirkt (vgl. Art. 67 Abs. 2 Bst. a AuG; Art. 80 Abs. 1 Bst. a VZAE).</w:t>
      </w:r>
    </w:p>
    <w:p>
      <w:r>
        <w:rPr>
          <w:b/>
        </w:rPr>
        <w:t>E. 6.1</w:t>
      </w:r>
    </w:p>
    <w:p>
      <w:r>
        <w:t>Der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Der Beschwerdeführer hat - wie festgestellt - wegen Erwerbstätigkeit ohne Bewilligung in der Schweiz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einzuhalten (vgl. hierzu Urteil des BVGer F-5969/2016 vom 28. September 2017 E. 8.2 m.H.). Es besteht somit ein gewichtiges öffentliches Interesse an der Fernhaltung des Beschwerdeführers.</w:t>
      </w:r>
    </w:p>
    <w:p>
      <w:r>
        <w:rPr>
          <w:b/>
        </w:rPr>
        <w:t>E. 6.3</w:t>
      </w:r>
    </w:p>
    <w:p>
      <w:r>
        <w:t>Den öffentlichen Interessen sind die privaten Interessen des Beschwerdeführers gegenüberzustellen. Diesbezüglich blieb er sehr vage und unbestimmt und machte im Rahmen der polizeilichen Einvernahme lediglich geltend, er verbringe seit neun Jahren seine Ferien in der Schweiz und besuche seine hier lebenden Freunde. Infolgedessen sind keine privaten Interessen ersichtlich, die eine Aufhebung oder eine Verkürzung des Einreiseverbots zu rechtfertigen vermögen. Überdies sind dem Beschwerdeführer während der Geltungsdauer der Fernhaltemassnahme Besuchsaufenthalte bei ihm allfällig nahe stehenden Personen in der Schweiz nicht schlichtweg untersagt; das SEM kann die Fernhaltemassnahme auf begründetes Gesuch hin aus humanitären oder anderen wichtigen Gründen befristet suspendieren (vgl. Art. 67 Abs. 5 AuG; BVGE 2013/4 E. 7.4.3 m.H.). Das verhängte Einreiseverbot stellt somit sowohl im Grundsatz als auch hinsichtlich der Dauer eine verhältnismässige und angemessene Massnahme zum Schutz der öffentlichen Sicherheit und Ordnung dar.</w:t>
      </w:r>
    </w:p>
    <w:p>
      <w:r>
        <w:rPr>
          <w:b/>
        </w:rPr>
        <w:t>E. 6.4</w:t>
      </w:r>
    </w:p>
    <w:p>
      <w:r>
        <w:t>Nicht zu beanstanden ist schliesslich, dass dem Beschwerdeführer die Einreise in das Hoheitsgebiet sämtlicher Schengen-Staaten verboten wurde (vgl. Art. 21 i.V.m. Art. 24 SIS-II-VO sowie BVGE 2014/20 E. 8.5 m.H.), geht es doch in casu um zentrale Bestimmungen der migrationsrechtlichen Ordnung, gegen welche der Beschwerdeführer verstossen hat. Die SIS-Ausschreibung erweist sich somit als verhältnismässig (Art. 24 Ziff. 2 Bst. b und Ziff. 3 SIS-II-VO).</w:t>
      </w:r>
    </w:p>
    <w:p>
      <w:r>
        <w:rPr>
          <w:b/>
        </w:rPr>
        <w:t>E. 7</w:t>
      </w:r>
    </w:p>
    <w:p>
      <w:r>
        <w:t>Aus diesen Erwägungen ergibt sich, dass die angefochtene Verfügung im Lichte von Art. 49 VwVG nicht zu beanstanden ist. Die Beschwerde ist demzufolge abzuweisen.</w:t>
      </w:r>
    </w:p>
    <w:p>
      <w:r>
        <w:rPr>
          <w:b/>
        </w:rPr>
        <w:t>E. 8</w:t>
      </w:r>
    </w:p>
    <w:p>
      <w:r>
        <w:t>Bei diesem Ausgang des Verfahrens sind die Verfahrenskosten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