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F-2332/2017 vom 8. Februar 2018</w:t>
      </w:r>
    </w:p>
    <w:p>
      <w:r>
        <w:t>Bundesverwaltungsgericht, 2018-02-08, DE</w:t>
      </w:r>
    </w:p>
    <w:p>
      <w:r>
        <w:rPr>
          <w:b/>
        </w:rPr>
        <w:t xml:space="preserve">Quelle: </w:t>
      </w:r>
      <w:r>
        <w:t>https://mcp.opencaselaw.ch/entscheid/bvger_F-2332_2017</w:t>
      </w:r>
    </w:p>
    <w:p>
      <w:r>
        <w:t>FR: TAF F-2332/2017 du 8 février 2018</w:t>
      </w:r>
    </w:p>
    <w:p>
      <w:r>
        <w:t>IT: TAF F-2332/2017 del 8 febbraio 2018</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Die Beschwerdeführenden sind zur Beschwerde legitimiert (Art. 48 Abs. 1 VwVG). Auf die frist- und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Soweit die Beschwerdeführenden die Anwendung der rechtlichen Bestimmungen durch die Vorinstanz rügen bzw. das SEM habe die Einsprache nur auf Grund der wirtschaftlichen Lage Senegals und des Migrationsdrucks willkürlich abgewiesen und damit implizit eine Verletzung der Begründungspflicht bzw. des Anspruchs auf rechtliches Gehör meinen sollten, kann auf die Ausführungen des SEM in seiner Vernehmlassung verwiesen werden (vgl. vorstehend Bst. I). Überdies ist die Frage, ob die in der vorinstanzlichen Verfügung genannten Gründe zutreffen und ob der rechtserhebliche Sachverhalt hinreichend sorgfältig abgeklärt wurde, eine Frage der sachverhaltlichen und rechtlichen Überprüfung (vgl. Urteil des BGer 2C_270/2015 vom 6. August 2015 E. 3.2). Soweit die Beschwerde das Willkürverbot (Art. 9 BV) als verletzt rügt, ist darauf hinzuweisen, dass dieses keinen selbständigen Gehalt bzw. keine eigenständige Auswirkung hat, weil das Bundesverwaltungsgericht Sach- und Rechtsfragen mit voller Kognition überprüfen kann.</w:t>
      </w:r>
    </w:p>
    <w:p>
      <w:r>
        <w:rPr>
          <w:b/>
        </w:rPr>
        <w:t>E. 4</w:t>
      </w:r>
    </w:p>
    <w:p>
      <w:r>
        <w:t>Der angefochtenen Verfügung liegt das Gesuch eines senegalesischen Staatsangehörigen um Erteilung eines Visums für einen 90-tägigen Aufenthalt in der Schweiz zugrunde. Mit der Rechtsmitteleingabe reduzieren die Beschwerdeführenden das Gesuch auf einen 30-tägigen Aufenthalt.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5.2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Aufgrund seiner senegalesischen Staatszugehörigkeit unterliegt der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(vgl. BVGE 2014/1 E. 6.1 m.H.).</w:t>
      </w:r>
    </w:p>
    <w:p>
      <w:r>
        <w:rPr>
          <w:b/>
        </w:rPr>
        <w:t>E. 6.3</w:t>
      </w:r>
    </w:p>
    <w:p>
      <w:r>
        <w:t>Mit einem nominalen Pro-Kopf-Einkommen von 965 gehört Senegal zur Gruppe der Least Developed Countries und belegte im Jahr 2015 Platz 25 der ärmsten Länder der Welt. Zwar ist der Anteil der in Armut lebenden Menschen zwischen den Jahren 2001 und 2005 von 55 % auf 48 % gefallen, doch liegt er seit dem Jahr 2011 noch immer bei circa 47 %. Bei dem Doing Business Report 2016 gehörte Senegal zu den zehn Ländern mit den meisten Verbesserungen, allerdings nahm es in der Rangliste der insgesamt 189 bewerteten Länder lediglich Platz 153 ein. Eines der grössten Investitionshemmnisse Senegals stellt der nach wie vor überregulierte Arbeitsmarkt dar, dessen einseitig arbeitnehmerfreundliche Regelungen nicht zur Schaffung von Arbeitsplätzen beitragen. Senegals Wirtschaft wird von den Bereichen Landwirtschaft, Bauwirtschaft, Fischerei und Dienstleistungen dominiert. Obwohl fast 80% der Beschäftigten in der Landwirtschaft tätig sind, ist deren Produktivität nicht zufriedenstellend. Der wichtigste Wachstumsbereich ist der Dienstleistungssektor (Finanzwesen, Telekommunikation und Immobilien). Hier tragen der informelle Sektor über 60 % und der Telekommunikations-Sektor ungefähr 10 % zum Bruttoinlandsprodukt bei. Der Bankensektor hat unter anderem wegen überhöhter Gebühren eine der grössten Gewinnmargen in der Region. Um den Tourismus anzukurbeln hat die senegalesische Regierung die Visumspflicht abgeschafft und die hohen Flughafengebühren gesenkt (Quelle: www.auswaertiges-amt.de &gt; Aussen- und Europapolitik &gt; Länderinformationsquellen &gt; Senegal &gt; Wirtschaftspolitik, abgerufen im Januar 2018).</w:t>
      </w:r>
    </w:p>
    <w:p>
      <w:r>
        <w:rPr>
          <w:b/>
        </w:rPr>
        <w:t>E. 6.4</w:t>
      </w:r>
    </w:p>
    <w:p>
      <w:r>
        <w:t>Aus den Akten geht hervor, dass der 19-jährige Gesuchsteller mit seiner Familie in Dakar lebt, wo er [zur Schule geht] und kurz vor den Abschlussprüfungen steht bzw. diese mittlerweile wohl abgeschlossen hat. Sein Vater, der seit dem 31. Dezember 2011 in zweiter Ehe mit einer Schweizer Bürgerin verheiratet ist, lebt in der Schweiz und hat als Künstler, aber auch als Geschäftsführer, ein Auskommen (vgl. SEM act. 2 S. 25). Die Bereitschaft, das Heimatland bzw. den Aufenthaltsstaat zu verlassen, wird dort begünstigt, wo - wie im Fall des Gesuchstellers - bereits Verwandte im Ausland leben. In Anbetracht dieser Umstände ist nicht zu beanstanden, dass die Vorinstanz das Risiko einer nicht fristgerechten Wiederausreise als allgemein sehr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des Gesuchstellers bestehen, den Schengen-Raum vor Ablauf des Visums zu verlassen (vgl. BVGE 2014/1 E. 4.4 und E. 6.3.1 je m.H.).</w:t>
      </w:r>
    </w:p>
    <w:p>
      <w:r>
        <w:rPr>
          <w:b/>
        </w:rPr>
        <w:t>E. 6.5</w:t>
      </w:r>
    </w:p>
    <w:p>
      <w:r>
        <w:t>Hinsichtlich der persönlichen Verhältnisse des Beschwerdeführers im Senegal ist nur wenig bekannt. Aktenkundig lebt er mit seiner Familie zusammen, wobei es sich um seine (leibliche) Mutter und seine Geschwister handeln dürfte. Besondere Verpflichtungen beziehungsweise Verantwortlichkeiten persönlicher oder familiärer Natur gegenüber Familienangehörigen oder Drittpersonen sind aus den Akten nicht ersichtlich und werden nicht geltend gemacht. Es werden keine weiteren Angaben zum privaten Hintergrund gemacht. Damit, sowie aufgrund seines jugendlichen Alters, ist nicht davon auszugehen, dass in seinem persönlichen oder familiären Umfeld Verpflichtungen vorhanden sind, die besondere Gewähr für eine Rückkehr ins Heimatland bieten könnten.</w:t>
      </w:r>
    </w:p>
    <w:p>
      <w:r>
        <w:rPr>
          <w:b/>
        </w:rPr>
        <w:t>E. 6.6</w:t>
      </w:r>
    </w:p>
    <w:p>
      <w:r>
        <w:t>In beruflicher Hinsicht wird geltend gemacht, der Gesuchsteller habe seine Schulausbildung abgeschlossen und es biete sich ihm im Senegal die Chance, als Fussballer den Durchbruch zu schaffen. Entsprechende Beweismittel wurden jedoch nicht zu den Akten gereicht und auch in das Visumsformular fanden die geltend gemachten sportlichen Ambitionen des Gesuchstellers keinen Eingang. Auch wenn der Gesuchsteller seine Verbundenheit mit seinem heimatlichen Fussballverein zum Ausdruck bringt, wird ihn diese nicht nachhaltig von einer Migration abhalten können. Fussball ist eine Sportart, welche im Gegensatz zu alpinen Sportarten oder auch bspw. Eishockey nicht an geografische und klimatische Besonderheiten eines Landes gebunden ist, und grundsätzlich an jedem beliebigen Ort auf der Welt ausgeübt werden kann. Der Gesuchsteller könnte sich folglich auch in der Schweiz einen Fussballverein suchen, dort das Training besuchen und so seine sportlichen Ambitionen ausleben. Damit wird in beruflicher Hinsicht nichts geltend gemacht, was die Prognose der gesicherten Ausreise positiv beeinflussen könnte.</w:t>
      </w:r>
    </w:p>
    <w:p>
      <w:r>
        <w:rPr>
          <w:b/>
        </w:rPr>
        <w:t>E. 6.7</w:t>
      </w:r>
    </w:p>
    <w:p>
      <w:r>
        <w:t>Die wirtschaftlichen Verhältnisse, in denen der Gesuchsteller lebt, sind ebenfalls wenig transparent. Aktenkundig erklärten die Beschwerdeführenden zwar wiederholt, sie würden für den Gesuchsteller alle anfallenden Reise- und Aufenthaltskosten übernehmen; in welchen wirtschaftlichen Verhältnisse sich die in Dakar lebende Familie des Gesuchstellers befindet bzw. von welchen Subsistenzmitteln er dort lebt, geht jedoch aus den Akten nicht hervor. Es versteht sich von selbst, dass diese mangelnde Transparenz nicht auf eine Verwurzelung, sondern vielmehr auf die mögliche Gefahr schliessen lässt, dass der Betroffene - wie viele andere auch - eine Existenz durch Emigration suchen könnte. Die Vorinstanz hält daher zu Recht fest, dass dem Gesuchsteller keine ausserordentlichen familiären, beruflichen oder gesellschaftlichen Verpflichtungen in der Heimat obliegen, die besondere Gewähr für eine fristgerechte Rückkehr böten.</w:t>
      </w:r>
    </w:p>
    <w:p>
      <w:r>
        <w:rPr>
          <w:b/>
        </w:rPr>
        <w:t>E. 6.8</w:t>
      </w:r>
    </w:p>
    <w:p>
      <w:r>
        <w:t>Es ist nachvollziehbar, dass die Beschwerdeführenden ihren Sohn bzw. Stiefsohn in die Schweiz zu Besuch einladen möchten und dieser den Wunsch äussert, seinen Vater in der Schweiz zu besuchen. Weder der Gesuchsteller noch die Beschwerdeführenden konnten jedoch Unterlagen einreichen, welche die Zweifel am fristgerechten Verlassen der Schweiz zu entkräften vermögen. Gerade der ursprünglich wenig plausible Besuchszeitpunkt kurz vor dem Ausbildungsabschluss wie auch die erst im Verlauf des Verfahrens zu Tage getretenen Absichten einer Fussballerkarriere durften bei der Vorinstanz zu Recht Zweifel über den Aufenthaltszweck und die Rückkehrabsichten aufkommen lassen. Aufgrund der vorliegenden Akten kann damit weder auf eine gesicherte wirtschaftliche Existenz noch auf besondere familiäre, berufliche oder gesellschaftliche Verpflichtungen des Gesuchstellers im Senegal geschlossen werden, die geeignet sind, das Risiko einer nicht fristgerechten Wiederausreise nach einem Besuchsaufenthalt in der Schweiz erheblich herabzusetzen (vgl. ähnliche Urteile des BVGer F-3984/2016 vom 14. August 2017 E. 6 und C-3438/2014 vom 22. Januar 2015 E. 7.2).</w:t>
      </w:r>
    </w:p>
    <w:p>
      <w:r>
        <w:rPr>
          <w:b/>
        </w:rPr>
        <w:t>E. 7</w:t>
      </w:r>
    </w:p>
    <w:p>
      <w:r>
        <w:t>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BVGE 2009/27 E. 9). Die wiederholten Zusicherungen der Beschwerdeführenden, dass der Gesuchsteller die Schweiz fristgerecht wieder verlassen werde, können zu keiner anderen Einschätzung führen.</w:t>
      </w:r>
    </w:p>
    <w:p>
      <w:r>
        <w:rPr>
          <w:b/>
        </w:rPr>
        <w:t>E. 8</w:t>
      </w:r>
    </w:p>
    <w:p>
      <w:r>
        <w:t>Die Beschwerdeführenden machen geltend, dass der Beschwerdeführer seinen Sohn seit drei Jahren nicht mehr gesehen habe. Ein Eingriff in den Schutzbereich des Familienlebens liegt in aller Regel nicht vor, wenn von den Beteiligten ohne Weiteres erwartet werden kann, das Familienleben ausserhalb der Schweiz zu pflegen (vgl. zum Ganzen Urteil des BVGer F-1508/2017 vom 23. Juni 2017 E. 7.3 - E. 7.4 m.w.H.). Aktenkundig ist der Beschwerdeführer im Besitz eines bis zum 15. Mai 2019 gültigen senegalesischen Reisepasses, die Beschwerdeführerin besitzt einen bis zum 17. April 2022 gültigen Schweizer Reisepass (vgl. SEM act. 2 S. 27 und S. 29). Folglich verfügen die Beschwerdeführenden über Reisedokumente, die ihnen eine Zusammenkunft ausserhalb der Schweiz ermöglichen. Angesichts der potenziell gefährdeten öffentlichen Interessen der Schweiz ist daher auch die Verweigerung eines räumlich beschränkten Visums aus humanitären Gründen (vgl. E. 5.5) verhältnismässig und angezeigt. Zudem ist dem Umstand Rechnung zu tragen, dass die Erteilung eines Visums mit räumlich beschränkter Geltung auch die Interessen der übrigen Schengen-Staaten beeinträchtigen kann (vgl. BVGE 2014/1 E. 9.2 m.H.).</w:t>
      </w:r>
    </w:p>
    <w:p>
      <w:r>
        <w:rPr>
          <w:b/>
        </w:rPr>
        <w:t>E. 9</w:t>
      </w:r>
    </w:p>
    <w:p>
      <w:r>
        <w:t>Die angefochtene Verfügung ist nach dem Gesagten im Lichte von Art. 49 VwVG nicht zu beanstanden. Die Beschwerde ist abzuweisen.</w:t>
      </w:r>
    </w:p>
    <w:p>
      <w:r>
        <w:rPr>
          <w:b/>
        </w:rPr>
        <w:t>E. 10</w:t>
      </w:r>
    </w:p>
    <w:p>
      <w:r>
        <w:t>Entsprechend dem Ausgang des Verfahrens werden die unterliegenden Beschwerdeführenden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