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F-2313/2019 vom 11. August 2020</w:t>
      </w:r>
    </w:p>
    <w:p>
      <w:r>
        <w:t>Bundesverwaltungsgericht, 2020-08-11, FR</w:t>
      </w:r>
    </w:p>
    <w:p>
      <w:r>
        <w:rPr>
          <w:b/>
        </w:rPr>
        <w:t xml:space="preserve">Quelle: </w:t>
      </w:r>
      <w:r>
        <w:t>https://mcp.opencaselaw.ch/entscheid/bvger_F-2313_2019</w:t>
      </w:r>
    </w:p>
    <w:p>
      <w:r>
        <w:t>FR: TAF F-2313/2019 du 11 août 2020</w:t>
      </w:r>
    </w:p>
    <w:p>
      <w:r>
        <w:t>IT: TAF F-2313/2019 del 11 agosto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([ci-après : le TF] ;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w:t>
      </w:r>
    </w:p>
    <w:p>
      <w:r>
        <w:rPr>
          <w:b/>
        </w:rPr>
        <w:t>E. 3.1</w:t>
      </w:r>
    </w:p>
    <w:p>
      <w:r>
        <w:t>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(al. 2).</w:t>
      </w:r>
    </w:p>
    <w:p>
      <w:r>
        <w:rPr>
          <w:b/>
        </w:rPr>
        <w:t>E. 3.2</w:t>
      </w:r>
    </w:p>
    <w:p>
      <w:r>
        <w:t>En l'occurrence, les faits pertinents pour l'annulation de la naturalisation facilitée de l'intéressé se sont produits avant l'entrée en vigueur du nouveau droit. En tout état de cause, la question du droit applicable peut demeurer indécise dans le cas particulier, dès lors que les conditions matérielles prévues pour l'annulation de la naturalisation facilitée sont restées les mêmes sous l'ancien et sous le nouveau droit et que les autorités cantonales compétentes ont par ailleurs donné leur assentiment à l'annulation de la naturalisation facilitée du recourant (dans le même sens, cf. notamment l'arrêt du TAF F-792/2019 du 15 juin 2020 consid. 3).</w:t>
      </w:r>
    </w:p>
    <w:p>
      <w:r>
        <w:rPr>
          <w:b/>
        </w:rPr>
        <w:t>E. 4.1</w:t>
      </w:r>
    </w:p>
    <w:p>
      <w:r>
        <w:t>Dans un grief d'ordre formel qu'il convient d'examiner en premier lieu, le recourant reproche au SEM d'avoir auditionné son ex-épouse « dans des conditions douteuses », compte tenu de « l'absence de caractère contradictoire de cette audition », mais également de « l'absence d'un traducteur », compte tenu des faibles connaissances de français de son ex-épouse. Ce faisant, il invoque une violation de son droit d'être entendu au sens de l'art. 29 al. 2 Cst., qui garantit notamment le droit pour l'administré qu'il soit donné suite à ses offres de preuves pertinentes, de participer à l'administration des preuves essentielles ou à tout le moins de s'exprimer sur son résultat lorsque cela est de nature à influer sur la décision à rendre (cf. ATF 142 II 218 consid. 2.3; arrêt du TF 1C_646/2013 du 7 novembre 2013 consid. 3).</w:t>
      </w:r>
    </w:p>
    <w:p>
      <w:r>
        <w:rPr>
          <w:b/>
        </w:rPr>
        <w:t>E. 4.2</w:t>
      </w:r>
    </w:p>
    <w:p>
      <w:r>
        <w:t>Il convient de relever d'abord que l'argument selon lequel l'audition de son ex-épouse s'était déroulée sans sa présence et/ou celle de son mandataire est malvenu et à la limite de la mauvaise foi, dès lors que le SEM avait formellement invité le recourant à assister à l'audition de son ex-épouse ou de s'y faire représenter par son mandataire et que l'intéressé n'a pas donné suite à cette invitation. S'agissant de la requête faite au SEM de procéder à une nouvelle audition de son épouse, au motif que celle-ci était « viciée et irrégulière », le Tribunal constate que le procès-verbal de cette audition avait été transmis au recourant (par l'entremise de son précédent mandataire) et que celui-ci n'avait apporté que des corrections de détail aux propos de son ex-épouse, et n'avait aucunement remis en cause la tenue de cette audition en français. Dans ces circonstances, l'allégation ultérieure (par son nouveau mandataire) des prétendues faibles connaissances de français de son ex-épouse suissesse apparaît, par son caractère tardif, avancée pour les seuls besoins de la cause. Il s'ensuit que le grief tiré d'une violation du droit d'être entendu doit être écarté.</w:t>
      </w:r>
    </w:p>
    <w:p>
      <w:r>
        <w:rPr>
          <w:b/>
        </w:rPr>
        <w:t>E. 5.1</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5.2</w:t>
      </w:r>
    </w:p>
    <w:p>
      <w:r>
        <w:t>La notion de communauté conjugale dont il est question dans l'aLN,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 arrêts du TF 1C_588/2017 du 30 novembre 2017 consid. 5.1 et 1C_362/2017 du 12 octobre 2017 consid. 2.2.1, et la jurisprudence citée).</w:t>
      </w:r>
    </w:p>
    <w:p>
      <w:r>
        <w:rPr>
          <w:b/>
        </w:rPr>
        <w:t>E. 5.3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6.1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6.2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 arrêts du TF précités 1C_588/2017 consid. 5.1 et 1C_362/2017 consid. 2.2.1, et la jurisprudence citée). 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(arrêt du TF 1C_377/2017 du 12 octobre 2017 consid. 2.2 ; cf. également arrêt du TAF F-5342/2015 du 5 décembre 2018 consid. 11.2).</w:t>
      </w:r>
    </w:p>
    <w:p>
      <w:r>
        <w:rPr>
          <w:b/>
        </w:rPr>
        <w:t>E. 6.3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7</w:t>
      </w:r>
    </w:p>
    <w:p>
      <w:r>
        <w:t>A titre liminaire, le Tribunal constate que les conditions formelles d'annulation de la naturalisation facilitée prévues par l'art. 41 aLN sont réalisées en l'espèce. En effet, la naturalisation facilitée accordée au recourant par décision du 12 novembre 2013 a été annulée par l'autorité inférieure le 27 mars 2019, avec l'assentiment des autorités cantonales genevoises et jurassiennes (cf. art. 41 al. 1 aLN). L'autorité inférieure a eu connaissance des faits déterminants pour engager une procédure d'annulation de la naturalisation facilitée au plus tôt le 6 octobre 2016, date à laquelle les autorités vaudoises ont annoncé le cas au SEM. Les délais de prescription (relative et absolue) de l'art. 41 al. 1bis aLN, dans sa teneur en vigueur depuis le 1er mars 2011 (RO 2011 347), ont donc été respectés.</w:t>
      </w:r>
    </w:p>
    <w:p>
      <w:r>
        <w:rPr>
          <w:b/>
        </w:rPr>
        <w:t>E. 8.1</w:t>
      </w:r>
    </w:p>
    <w:p>
      <w:r>
        <w:t>En premier lieu, il importe de vérifier si l'enchaînement chronologique des événements est susceptible, dans le cadre de la présente cause, de fonder la présomption de fait que la naturalisation a été obtenue frauduleusement, autrement dit que la communauté conjugale formée par le recourant et son épouse ne présentait pas (ou plus), au moment de la signature de la déclaration de vie commune et lors de la décision de naturalisation, l'intensité et la stabilité requises par la jurisprudence.</w:t>
      </w:r>
    </w:p>
    <w:p>
      <w:r>
        <w:rPr>
          <w:b/>
        </w:rPr>
        <w:t>E. 8.2</w:t>
      </w:r>
    </w:p>
    <w:p>
      <w:r>
        <w:t>En l'espèce, le Tribunal constate que le recourant et son épouse ont contracté mariage le 22 février 2008. Le prénommé a déposé une demande de naturalisation facilitée en date du 3 mars 2012 et les époux ont ensuite contresigné le 30 septembre 2013 une déclaration selon laquelle ils confirmaient vivre en communauté conjugale effective et stable. Par décision du 11 octobre 2013, entrée en force le 12 novembre 2013, l'autorité de première instance a accordé la naturalisation facilitée à l'intéressé. Les époux se sont toutefois séparés en mai 2015, soit dix-huit mois après l'octroi de la naturalisation facilitée et ont ensuite déposé, le 6 octobre 2016, une requête commune en divorce avec accord complet, qui a abouti quelque mois plus tard au prononcé du divorce le 17 mars 2017. Il est à noter qu'à cette date l'intéressé avait déjà conçu un enfant avec sa nouvelle épouse, une compatriote née en 1989, qu'il a ensuite épousée le 1er juillet 2017.</w:t>
      </w:r>
    </w:p>
    <w:p>
      <w:r>
        <w:rPr>
          <w:b/>
        </w:rPr>
        <w:t>E. 8.3</w:t>
      </w:r>
    </w:p>
    <w:p>
      <w:r>
        <w:t>Les éléments précités et leur enchaînement chronologique rapide sont de nature à fonder la présomption de fait selon laquelle, au moment de la signature de la déclaration commune et lors de la décision de naturalisation, la communauté conjugale des époux A._______ et B._______ n'était plus stable et orientée vers l'avenir au sens de l'art. 27 aLN. Le court laps de temps séparant la déclaration commune, l'octroi de la naturalisation facilitée et la séparation définitive des époux, suivie peu après leur divorce du remariage du recourant avec une femme de 26 ans plus jeune que son-épouse, avec laquelle il avait conçu un enfant avant même son divorce prononcé, sont de nature à fonder la présomption que cette naturalisation a été acquise au moyen de déclarations mensongères, respectivement par la dissimulation de faits essentiels. Comme relevé plus haut, il est en effet conforme à la jurisprudence en la matière d'admettre une présomption de fait selon laquelle la communauté conjugale n'était pas stable lors de l'octroi de la naturalisation si la séparation intervient, comme en l'espèce, dix-huit mois plus tard. Il convient de souligner ici que, selon l'expérience générale,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Dans ce contexte, il est patent de constater qu'à l'audience de comparution personnelle des ex-époux devant le Tribunal d'arrondissement de Lausanne le 26 janvier 2017, chacun d'eux a confirmé son accord avec les termes de la requête commune en divorce et de la convention sur les effets du divorce. Ces éléments témoignent ainsi d'un manque de volonté de sauver le couple, incompatible avec l'existence d'une union effective et stable telle qu'exigée par l'art. 27 al. 1 let. c aLN (cf. arrêts du TF 1C_859/2013 du 4 mars 2014 consid. 2.2; 1C_255/2011 du 27 septembre 2011 consid. 2.1.1).</w:t>
      </w:r>
    </w:p>
    <w:p>
      <w:r>
        <w:rPr>
          <w:b/>
        </w:rPr>
        <w:t>E. 8.4</w:t>
      </w:r>
    </w:p>
    <w:p>
      <w:r>
        <w:t>Au vu de ce qui précède, le Tribunal est amené à conclure que le SEM était fondé à considérer que le couple ne vivait plus en parfaite harmonie lors de la signature de la déclaration commune du 30 septembre 2013 et à admettre la présomption basée sur l'enchaînement rapide des événements précités, selon laquelle contrairement à la déclaration écrite précitée, l'union n'était alors plus constitutive d'une communauté conjugale effective et stable (cf. ATF 135 II 161 consid. 3 p. 165 et références citées).</w:t>
      </w:r>
    </w:p>
    <w:p>
      <w:r>
        <w:rPr>
          <w:b/>
        </w:rPr>
        <w:t>E. 9.1</w:t>
      </w:r>
    </w:p>
    <w:p>
      <w:r>
        <w:t>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5.3 et la jurisprudence citée).</w:t>
      </w:r>
    </w:p>
    <w:p>
      <w:r>
        <w:rPr>
          <w:b/>
        </w:rPr>
        <w:t>E. 9.2</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parmi d'autres, arrêt du TF 1C_270/2018 du 6 novembre 2018 consid. 3.4, 2ème par., et les réf. cit.). En particulier, il est difficilement concevable, dans un couple uni et heureux dont l'union a duré plusieurs années et a été envisagée par chacun des époux comme une communauté de destins, que les intéressés, après la décision de naturalisation, se résignent, suite à l'apparition de difficultés conjugales, à mettre un terme définitif à leur union, à moins que ne survienne un événement extraordinaire susceptible de conduire à une dégradation du lien conjugal.</w:t>
      </w:r>
    </w:p>
    <w:p>
      <w:r>
        <w:rPr>
          <w:b/>
        </w:rPr>
        <w:t>E. 9.3</w:t>
      </w:r>
    </w:p>
    <w:p>
      <w:r>
        <w:t>Il convient de rappeler ici que, dans ses premières déterminations au SEM du 13 juin 2017, le recourant avait expliqué que la séparation des époux était due à leurs différences de culture et de religion (protestante pour son épouse, musulmane pour lui) et que ces différences étaient devenues plus marquées au fil du temps, au point de rendre impossible la poursuite de leur vie commune. L'intéressé n'a toutefois alors mentionné aucun événement particulier qui serait survenu après sa naturalisation et qui aurait pu expliquer la rupture de l'union conjugale. Dans son recours, A._______ a par contre exposé que la différence de religion des époux, qui avait déjà été à l'origine de certaines difficultés au sein du couple « s'est exacerbée lorsqu'il est passé du stade de musulman non pratiquant au stade de musulman pratiquant, ce qui a créé une incompréhension et une confusion dans l'esprit de son épouse ayant entraîné une séparation plus rapide du couple puis le divorce ». Ces explications ne sont guère convaincantes et témoignent au contraire d'une lente érosion des relations du couple, qui a trouvé son épilogue au printemps 2014, selon les allégations même du recourant. Les problèmes survenus dans les relations des époux trouvent en effet leur origine dans leurs différences culturelles et religieuses (présentes dès le début de leur relation) et le recourant n'a pas démontré que leur séparation aurait été la conséquence d'un événement inattendu, indépendant des spécificités de leurs différences religieuses et qui en aurait provoqué la rupture définitive.</w:t>
      </w:r>
    </w:p>
    <w:p>
      <w:r>
        <w:rPr>
          <w:b/>
        </w:rPr>
        <w:t>E. 9.4</w:t>
      </w:r>
    </w:p>
    <w:p>
      <w:r>
        <w:t>Force est de constater dès lors que le recourant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Le recourant n'a en outre pas apporté d'éléments concrets susceptibles de démontrer qu'il n'avait pas eu conscience - au moment de la signature de la déclaration de vie commune, puis lors du prononcé de la naturalisation vu la séparation du couple - que la communauté conjugale alors vécue par les époux ne présentait plus l'intensité et la stabilité requises. En conséquence, il y a lieu de s'en tenir à la présomption de fait, fondée sur l'enchaînement chronologique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w:t>
      </w:r>
    </w:p>
    <w:p>
      <w:r>
        <w:rPr>
          <w:b/>
        </w:rPr>
        <w:t>E. 10.1</w:t>
      </w:r>
    </w:p>
    <w:p>
      <w:r>
        <w:t>Dans son mémoire de recours, le recourant a requis du Tribunal qu'il procède à une nouvelle audition de son ex-épouse, au motif que les réponses que celle-ci avait apportées, lors de son audition par la Police de l'Ouest lausannois, au sujet de leur vie conjugale et des motifs de leur séparation n'offraient pas des garanties suffisantes pour l'établissement des faits de la cause, compte tenu de ses connaissances limitées du français.</w:t>
      </w:r>
    </w:p>
    <w:p>
      <w:r>
        <w:rPr>
          <w:b/>
        </w:rPr>
        <w:t>E. 10.2</w:t>
      </w:r>
    </w:p>
    <w:p>
      <w:r>
        <w:t>Le Tribunal tient à relever ici que les réponses apportées par l'ex-épouse du recourant lors de son audition du 29 mars 2018 n'ont qu'une incidence limitée sur l'appréciation des faits déterminants de la cause, soit, d'une part, la présomption de fait selon laquelle la communauté conjugale n'était pas stable lors de l'octroi de la naturalisation, au vu de la séparation intervenue dix-huit mois plus tard, d'autre part, l'absence de tout événement extraordinaire de nature à expliquer de manière convaincante la rupture du lien conjugal. Dans ces circonstances, le Tribunal considère que les faits de la cause sont suffisamment établis par les pièces du dossier, de sorte qu'il n'est pas nécessaire d'ordonner l'audition requise. A noter que l'audition de témoins n'est prévue qu'à titre subsidiaire en procédure administrative (art. 14 al. 1 PA) et qu'il n'est ainsi procédé à l'audition personnelle de tiers que si cela paraît indispensable à l'établissement des faits (cf. ATF 122 II 464 consid. 4c). Il sied de relever enfin que l'autorité est fondée à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131 I 153 consid. 3, 130 II 425 consid. 2.1).</w:t>
      </w:r>
    </w:p>
    <w:p>
      <w:r>
        <w:rPr>
          <w:b/>
        </w:rPr>
        <w:t>E. 11.1</w:t>
      </w:r>
    </w:p>
    <w:p>
      <w:r>
        <w:t>Bien que le recourant ne se prévale pas d'un éventuel risque d'apatridie, il est à rappeler que, selon la jurisprudence du Tribunal fédéral, ce risque ne fait pas obstacle à l'annulation de la naturalisation facilitée. Celle-ci ayant été obtenue frauduleusement, l'intéressé doit en effet supporter les conséquences qui en résultent. Admettre qu'il en aille autrement reviendrait à conférer aux apatrides potentiels une protection absolue contre une éventuelle annulation de la naturalisation facilitée, ce qui contreviendrait au principe de l'égalité de traitement (cf. ATF 140 II 65 consid. 4.2.1 p. 72 s. ; arrêts du TF 1C_658/2019 du 28 février 2020 consid. 5 et 1C_98/2019 du 3 mai 2019 consid. 4).</w:t>
      </w:r>
    </w:p>
    <w:p>
      <w:r>
        <w:rPr>
          <w:b/>
        </w:rPr>
        <w:t>E. 11.2</w:t>
      </w:r>
    </w:p>
    <w:p>
      <w:r>
        <w:t>En vertu de l'art. 41 al. 3 aLN, sauf décision expresse, l'annulation fait également perdre la nationalité suisse aux membres de la famille qui l'ont acquise en vertu de la décision annulée. En l'espèce, la décision du SEM a également entraîné la perte de la nationalité suisse acquise à sa naissance par l'enfant D._______, né le (...) 2016 de la nouvelle union du recourant avec sa compatriote C._______. Le recourant, qui a le droit de représenter son fils mineur dans le cadre de la présente procédure de recours au vu des pièces figurant au dossier, ne fait toutefois valoir aucun grief spécifique en relation avec le chiffre 3 du dispositif de la décision querellée et il n'apparaît en outre pas, comme déjà relevé par le SEM, que cet enfant soit menacé d'apatridie (cf. art. 30 et ss du Code civil guinéen), de sorte qu'il ne se justifie pas en l'espèce de s'écarter de la norme prévue par l'art. 41 al. 3 LN (cf. arrêts du TF 1C_214/2015 du 6 novembre 2015 consid. 2.2; 1C_121/2014 du 20 août 2014 consid. 3). La décision est donc également conforme au droit sur ce point. 12.Compte tenu de ce qui précède, et bien que le Tribunal ne remette pas en cause le fait que les intéressés aient eu des sentiments réciproques au cours de leur vie commune, c'est à bon droit que l'autorité intimée a retenu que le recourant avait fait, lors de la procédure de naturalisation facilitée, des déclarations mensongères, respectivement avait dissimulé des faits essentiels quant à la stabilité et l'effectivité de sa communauté conjugale. 13.Par sa décision du 27 mars 2019, l'autorité inférieure n'a ainsi ni violé le droit fédéral ni constaté des faits pertinents de manière inexacte ou incomplète ; en outre, cette décision n'est pas inopportune (art. 49 PA). Cela vaut également en rapport avec l'annulation de la naturalisation facilitée de D._______, fils du recourant. Le recours est en conséquence rejeté. 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RS 173.320.2]). Par décision incidente du 9 août 2019, le Tribunal a mis le recourant au bénéfice de l'assistance judiciaire totale et a désigné Me Imed Abdelli en qualité d'avocat d'office pour la présente procédure, en application de l'art. 65 al. 1 et 2 PA. Aussi, il convient de dispenser le recourant du paiement des frais de procédure et d'allouer à son mandataire une indemnité à titre d'honoraires pour les frais indispensables et relativement élevés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Me Imed Abdelli, du tarif applicable en l'espèce et du degré de difficulté de la présente cause, cette indemnité, à titre d'honoraires, sera fixée à Fr. 1'800.- frs. Le recourant a l'obligation de rembourser ce montant s'il revient à meilleure fortune (cf. art. 65 al. 4 PA). Enfin, aucun dépens ne sera mis à la charge de l'autorité intimée, le recourant n'ayant pas obtenu gain de cause (cf. art.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