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F-22/2021 vom 11. Januar 2021</w:t>
      </w:r>
    </w:p>
    <w:p>
      <w:r>
        <w:t>Bundesverwaltungsgericht, 2021-01-11, DE</w:t>
      </w:r>
    </w:p>
    <w:p>
      <w:r>
        <w:rPr>
          <w:b/>
        </w:rPr>
        <w:t xml:space="preserve">Quelle: </w:t>
      </w:r>
      <w:r>
        <w:t>https://mcp.opencaselaw.ch/entscheid/bvger_F-22_2021</w:t>
      </w:r>
    </w:p>
    <w:p>
      <w:r>
        <w:t>FR: TAF F-22/2021 du 11 janvier 2021</w:t>
      </w:r>
    </w:p>
    <w:p>
      <w:r>
        <w:t>IT: TAF F-22/2021 del 11 gennaio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erfüllt. Auf die frist- und formgerecht eingereichte Beschwerde ist einzutreten, soweit damit die Aufhebung des Nichteintretensentscheids beantragt wird (Art. 108 Abs. 3 AsylG; Art. 52 VwVG). Die Feststellung der Flüchtlingseigenschaft, die Gewährung von Asyl oder die Anordnung einer vorläufigen Aufnahme bilden demgegenüber nicht Gegenstand der angefochtenen Verfügung und damit auch nicht des vorliegenden Verfahrens. Auf die entsprechenden Beschwerdebegehren ist deshalb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illegal nach Spanien eingereist zu sein. Die spanischen Behörden hiessen das Gesuch der Vorinstanz um Aufnahme (take charge) gestützt auf Art. 13 Abs. 1 Dublin-III-VO am 15. Dezember 2020 ausdrücklich gut. Die Zuständigkeit Spaniens steht somit grundsätzlich fest, was der Beschwerdeführer nicht bestreitet.</w:t>
      </w:r>
    </w:p>
    <w:p>
      <w:r>
        <w:rPr>
          <w:b/>
        </w:rPr>
        <w:t>E. 4.1</w:t>
      </w:r>
    </w:p>
    <w:p>
      <w:r>
        <w:t>Nachfolgend ist zu prüfen, ob das Selbsteintrittsrecht nach Art. 17 Abs. 1 erster Satz Dublin-III-VO, konkretisiert in Art. 29a Abs. 3 der Asylverordnung 1 vom 11. August 1999 (AsylV 1, SR 142.311), auszuüben ist.</w:t>
      </w:r>
    </w:p>
    <w:p>
      <w:r>
        <w:rPr>
          <w:b/>
        </w:rPr>
        <w:t>E. 4.2</w:t>
      </w:r>
    </w:p>
    <w:p>
      <w:r>
        <w:t>Der Beschwerdeführer macht sinngemäss geltend, in Spanien an Leib und Leben gefährdet zu sein. Aus den vorinstanzlichen Akten geht hervor, dass er befürchtet, in Madrid von den Brüdern einer Algerierin verfolgt zu werden. Die Ausführungen des Beschwerdeführers sind äusserst vage und er hat keine Vorkommnisse aufgezeigt, welche den Schluss auf eine konkrete Verfolgungsgefahr erlauben würden. Zudem hat er kein konkretes und ernsthaftes Risiko dargetan, dass die spanischen Behörden ihm, sollte er tatsächlich einer Gefährdung ausgesetzt sein, den nötigen Schutz verweigern würden. Wie die Vorinstanz zu Recht ausführt, ist Spanien ein Rechtsstaat, der über eine schutzwillige und schutzfähige Polizeibehörde sowie über ein funktionierendes Justizsystem verfügt. Sollte der Beschwerdeführer sich in Spanien vor Übergriffen Dritter fürchten, steht es ihm frei, sich an die dafür zuständigen staatlichen Stellen zu wenden.</w:t>
      </w:r>
    </w:p>
    <w:p>
      <w:r>
        <w:rPr>
          <w:b/>
        </w:rPr>
        <w:t>E. 4.3</w:t>
      </w:r>
    </w:p>
    <w:p>
      <w:r>
        <w:t>Somit liegt kein Grund für die Anwendung der Ermessensklausel von Art. 17 Dublin-III-VO oder von Art. 29a Abs. 3 AsylV 1 vor. Spanien bleibt zuständiger Mitgliedstaat gemäss Art. 13 Dublin-III-VO. Die Vorinstanz ist demnach zu Recht gestützt auf Art. 31a Abs. 1 Bst. b AsylG auf das Asylgesuch des Beschwerdeführers nicht eingetreten und hat die Überstellung nach Spanien angeordnet.</w:t>
      </w:r>
    </w:p>
    <w:p>
      <w:r>
        <w:rPr>
          <w:b/>
        </w:rPr>
        <w:t>E. 5</w:t>
      </w:r>
    </w:p>
    <w:p>
      <w:r>
        <w:t>Die Beschwerde ist abzuweisen, soweit darauf einzutreten ist.</w:t>
      </w:r>
    </w:p>
    <w:p>
      <w:r>
        <w:rPr>
          <w:b/>
        </w:rPr>
        <w:t>E. 5.1</w:t>
      </w:r>
    </w:p>
    <w:p>
      <w:r>
        <w:t>Mit dem vorliegenden Urteil fällt der am 5. Januar 2021 angeordnete Vollzugsstopp dahin. Das Gesuch um Erteilung der aufschiebenden Wirkung der Beschwerde ist gegenstandslos geworden.</w:t>
      </w:r>
    </w:p>
    <w:p>
      <w:r>
        <w:rPr>
          <w:b/>
        </w:rPr>
        <w:t>E. 5.2</w:t>
      </w:r>
    </w:p>
    <w:p>
      <w:r>
        <w:t>Das Gesuch um Gewährung der unentgeltlichen Rechtspflege (Art. 65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