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F-2296/2019 vom 17. Mai 2019</w:t>
      </w:r>
    </w:p>
    <w:p>
      <w:r>
        <w:t>Bundesverwaltungsgericht, 2019-05-17, DE</w:t>
      </w:r>
    </w:p>
    <w:p>
      <w:r>
        <w:rPr>
          <w:b/>
        </w:rPr>
        <w:t xml:space="preserve">Quelle: </w:t>
      </w:r>
      <w:r>
        <w:t>https://mcp.opencaselaw.ch/entscheid/bvger_F-2296_2019</w:t>
      </w:r>
    </w:p>
    <w:p>
      <w:r>
        <w:t>FR: TAF F-2296/2019 du 17 mai 2019</w:t>
      </w:r>
    </w:p>
    <w:p>
      <w:r>
        <w:t>IT: TAF F-2296/2019 del 17 maggio 2019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vom 6. Mai 2019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Eine Parteientschädigung wird nicht zugesprochen.</w:t>
      </w:r>
    </w:p>
    <w:p>
      <w:r>
        <w:rPr>
          <w:b/>
        </w:rPr>
        <w:t>E. 5</w:t>
      </w:r>
    </w:p>
    <w:p>
      <w:r>
        <w:t>Dieses Urteil geht an den Beschwerdeführer, das SEM und die zuständige kantonale Behörde. Die Einzelrichterin: Der Gerichtsschreiber: Regula Schenker Senn Daniel Grimm Versand: Zustellung erfolgt an: - den Beschwerdeführer (Einschreiben) - das SEM, Bundesasylzentrum Allschwil zu den Akten N (...) (Beilage: Kopie der Beschwerde) - das Amt für Migration des Kantons Basel-Landschaft (in Kopie)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