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F-2292/2017 vom 25. Juni 2019</w:t>
      </w:r>
    </w:p>
    <w:p>
      <w:r>
        <w:t>Bundesverwaltungsgericht, 2019-06-25, FR</w:t>
      </w:r>
    </w:p>
    <w:p>
      <w:r>
        <w:rPr>
          <w:b/>
        </w:rPr>
        <w:t xml:space="preserve">Quelle: </w:t>
      </w:r>
      <w:r>
        <w:t>https://mcp.opencaselaw.ch/entscheid/bvger_F-2292_2017</w:t>
      </w:r>
    </w:p>
    <w:p>
      <w:r>
        <w:t>FR: TAF F-2292/2017 du 25 juin 2019</w:t>
      </w:r>
    </w:p>
    <w:p>
      <w:r>
        <w:t>IT: TAF F-2292/2017 del 25 giugno 2019</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d'interdiction d'entrée prononcées par le SEM - lequel constitue une unité de l'administration fédérale telle que définie à l'art. 33 let. d LTAF - sont susceptibles de recours au Tribunal, qui statue définitivement (cf. art. 1 al. 2 LTAF en relation avec l'art. 83 let. c ch. 1 LTF [RS 173.110]).</w:t>
      </w:r>
    </w:p>
    <w:p>
      <w:r>
        <w:rPr>
          <w:b/>
        </w:rPr>
        <w:t>E. 1.3</w:t>
      </w:r>
    </w:p>
    <w:p>
      <w:r>
        <w:t>A moins que la LTAF n'en dispose autrement, la procédure devant le Tribunal est régie par la PA (cf. art. 37 LTAF).</w:t>
      </w:r>
    </w:p>
    <w:p>
      <w:r>
        <w:rPr>
          <w:b/>
        </w:rPr>
        <w:t>E. 1.4</w:t>
      </w:r>
    </w:p>
    <w:p>
      <w:r>
        <w:t>La recourante a qualité pour recourir (cf. art. 48 al. 1 PA). Présenté dans la forme et dans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arrêt du TAF F-1429/2016 du 15 novembre 2016 consid. 2). Aussi peut-il admettre ou rejeter le pourvoi pour d'autres motifs que ceux invoqués. Dans son arrêt, il prend en considération l'état de fait régnant au moment où il statue (cf. ATAF 2014/1 consid. 2).</w:t>
      </w:r>
    </w:p>
    <w:p>
      <w:r>
        <w:rPr>
          <w:b/>
        </w:rPr>
        <w:t>E. 3.1</w:t>
      </w:r>
    </w:p>
    <w:p>
      <w:r>
        <w:t>Le 1er janvier 2019, la loi sur les étrangers du 16 décembre 2005 (RS 142.20,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Comme précisé dans sa jurisprudence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3.3</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4.1</w:t>
      </w:r>
    </w:p>
    <w:p>
      <w:r>
        <w:t>Conformément à l'art. 5 al. 1 LEtr, tout étranger doit, pour entrer en Suisse, notamment avoir une pièce de légitimation reconnue pour le passage de la frontière et être muni d'un visa si ce dernier est requis(let. a), disposer des moyens financiers nécessaires à son séjour (let. b) et ne représenter aucune menace pour la sécurité et l'ordre publics ni pour les relations internationales de la Suisse (let. c). Cette disposition, relative à l'entrée en Suisse, n'est applicable que dans la mesure où les accords d'association à Schengen ne contiennent pas de dispositions divergentes(art. 2 al. 4 LEtr).</w:t>
      </w:r>
    </w:p>
    <w:p>
      <w:r>
        <w:rPr>
          <w:b/>
        </w:rPr>
        <w:t>E. 4.2</w:t>
      </w:r>
    </w:p>
    <w:p>
      <w:r>
        <w:t>Aux termes de l'art. 2 al. 1 de l'ordonnance du 22 octobre 2008 surl'entrée et l'octroi de visas (OEV, RS 142.204), les conditions d'entrée pour un séjour n'excédant pas 90 jours ou à des fins de transit sont régies parl'art. 6 du règlement (UE) n° 2016/399 du Parlement européen et du Conseil du 9 mars 2016 concernant un code de l'Union relatif au régime defranchissement des frontières par les personnes (code frontières Schengen [version codifiée] ; JO L 77 du 23 mars 2016 p. 1). Par ailleurs, en application de l'art. 7 LEtr, l'entrée en Suisse et la sortie de Suisse sont régies par les accords d'association à Schengen. L'art. 6 par. 1 du code frontières Schengen, dont le contenu coïncide largement avec celui de l'art. 5 al. 1 LEtr précité (cf. à ce propos EGLI/MEYER in : CARONI/GÄCHTER/THURNHERR, Bundesgesetz über die Ausländerinnen und Ausländer, Berne 2010, ad art. 5 LEtr, n°14),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L'art. 6 par. 2 du code frontières Schengen précise notamment que la date d'entrée est considérée comme le premier jour de séjour sur le territoire des États membres et que la date de sortie est considérée comme ledernier jour de séjour sur le territoire des États membres.</w:t>
      </w:r>
    </w:p>
    <w:p>
      <w:r>
        <w:rPr>
          <w:b/>
        </w:rPr>
        <w:t>E. 4.3</w:t>
      </w:r>
    </w:p>
    <w:p>
      <w:r>
        <w:t>Selon l'art. 10 al. 1 LEtr, un étranger peut séjourner en Suisse sans exercer d'activité lucrative pendant trois mois sans autorisation, sauf si la durée fixée dans le visa est plus courte. Pour effectuer un séjour plus long sans activité lucrative, l'étranger doit être titulaire d'une autorisation (art. 10 al. 2 LEtr). L'OASA précise, en sonart.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 En outre, tout étranger qui entend exercer en Suisse une activité lucrative doit, en vertu de l'art. 11 al. 1 LEtr, être titulaire d'une autorisation, quelle que soit la durée de son séjour.</w:t>
      </w:r>
    </w:p>
    <w:p>
      <w:r>
        <w:rPr>
          <w:b/>
        </w:rPr>
        <w:t>E. 5.1</w:t>
      </w:r>
    </w:p>
    <w:p>
      <w:r>
        <w:t>L'interdiction d'entrée, qui permet d'empêcher l'entrée ou le retour en Suisse (respectivement dans l'Espace Schengen) d'un étranger dont le séjour y est indésirable, est régie par l'art. 67 LEtr, dans sa teneur en vigueur depuis le 1er janvier 2011.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5.3</w:t>
      </w:r>
    </w:p>
    <w:p>
      <w:r>
        <w:t>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w:t>
      </w:r>
    </w:p>
    <w:p>
      <w:r>
        <w:rPr>
          <w:b/>
        </w:rPr>
        <w:t>E. 5.4</w:t>
      </w:r>
    </w:p>
    <w:p>
      <w:r>
        <w:t>Concernant plus spécifiquement les notions de sécurité et d'ordre publics mentionnées à l'art. 67 al. 2 let. a LEtr, qui est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5.5</w:t>
      </w:r>
    </w:p>
    <w:p>
      <w:r>
        <w:t>Aux termes de l'ancien art. 80 al. 1 de l'OASA (RO 2007 5497),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5.6</w:t>
      </w:r>
    </w:p>
    <w:p>
      <w:r>
        <w:t>Une interdiction d'entrée peut notamment être prononcée lorsque l'étranger a violé les prescriptions du droit en matière d'étrangers (cf. le Message précité, FF 2002 3568). Aussi, selon la jurisprudence, le fait d'entrer, de séjourner ou de travailler en Suisse sans autorisation constitue une violation grave des prescriptions de police des étrangers (cf. ATF 139 II 121 consid. 6.5.1 ; ATAF 2017 VII/2 consid. 4.5 et la réf. cit.).</w:t>
      </w:r>
    </w:p>
    <w:p>
      <w:r>
        <w:rPr>
          <w:b/>
        </w:rPr>
        <w:t>E. 5.7</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5.8</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6.1</w:t>
      </w:r>
    </w:p>
    <w:p>
      <w:r>
        <w:t>En l'occurrence, l'autorité inférieure a prononcé une décision d'interdiction d'entrée en Suisse d'une durée de trois an à l'encontre de la recourante. Elle a considéré qu'une telle mesure d'éloignement s'imposait en raison du fait que par la violation des limites temporelles de son visa, la prénommée avait, durant sa présence illégale sur le territoire helvétique, mis en danger la sécurité et de l'ordre publics.</w:t>
      </w:r>
    </w:p>
    <w:p>
      <w:r>
        <w:rPr>
          <w:b/>
        </w:rPr>
        <w:t>E. 6.2</w:t>
      </w:r>
    </w:p>
    <w:p>
      <w:r>
        <w:t>Il convient donc d'examiner, d'une part, si la recourante a attenté par son comportement à la sécurité et à l'ordre publics ou les a mis en danger au sens de l'art. 67 al. 2 let. a LEtr, ce qui justifierait le prononcé d'une mesure d'interdiction d'entrée dans son principe, et, d'autre part, si la durée de la mesure d'éloignement est conforme au principe de proportionnalité.</w:t>
      </w:r>
    </w:p>
    <w:p>
      <w:r>
        <w:rPr>
          <w:b/>
        </w:rPr>
        <w:t>E. 7.1</w:t>
      </w:r>
    </w:p>
    <w:p>
      <w:r>
        <w:t>En l'espèce, la recourante est entrée dans l'Espace Schengen via l'Espagne en date du 7 avril 2016 et y est restée jusqu'au 7 décembre 2016, date de son contrôle à la frontière à Bâle. Le séjour en Suisse de la recourante dépassait depuis le 6 juillet 2016 les limites temporelles du visa accordé, et ce pour une durée excédant 5 mois, ce que la recourante ne conteste d'ailleurs pas. La recourante a ainsi commis une infraction à la LEtr, et est donc demeurée illégalement en Suisse à partir du jour de fin de validité de son visa. D'autre part, il est hautement vraisemblable que la recourante ait également travaillé en Suisse de manière contraire aux prescriptions légales en matière de droit des étrangers (art. 115 al. 1 let. a, b et c LEtr). En effet, il sied de relever que la Cour de droit administratif et public du Tribunal cantonal vaudois a retenu, en date du 15 novembre 2017, que la recourante avait pris une activité lucrative en Suisse à partir du 1er mai 2017 et qu'au dossier de la cause figure la copie d'un contrat de travail signé, prenant effet au 1er mai 2017 (cf. pièce 4 annexée au recours de la recourante du 12 juin 2017 adressé à la Cour de droit administratif et public du Tribunal cantonal vaudois). La conclusion de ce contrat n'apparaît pas avoir été conditionnée à la régularisation de la recourante au regard du droit des étrangers, ce qui conduit à penser que le courriel de l'employeur du 16 août 2017, soutenant l'inverse, ne peut se voir accorder un poids décisif.</w:t>
      </w:r>
    </w:p>
    <w:p>
      <w:r>
        <w:rPr>
          <w:b/>
        </w:rPr>
        <w:t>E. 7.2</w:t>
      </w:r>
    </w:p>
    <w:p>
      <w:r>
        <w:t>Aussi compte tenu de ce qui précède et au vu des pièces figurant au dossier, force est de constater que la recourante a séjourné illégalement en Suisse et qu'elle a par ailleurs exercé une activité lucrative sans être au bénéfice d'une autorisation idoine. Dans ces circonstances, le Tribunal est amené à conclure que la recourante, par son comportement délictueux en Suisse, a indiscutablement attenté à la sécurité et à l'ordre publics, de sorte qu'elle remplit les conditions d'application de l'art. 67 al. 2 let. a LEtr. Ainsi, la mesure d'interdiction d'entrée prononcée le 17 janvier 2017 est justifiée dans son principe.</w:t>
      </w:r>
    </w:p>
    <w:p>
      <w:r>
        <w:rPr>
          <w:b/>
        </w:rPr>
        <w:t>E. 8</w:t>
      </w:r>
    </w:p>
    <w:p>
      <w:r>
        <w:t>Cela étant, il reste encore à vérifier si la durée de trois ans de la mesure d'éloignement prise par le SEM satisfait aux principes de proportionnalité et d'égalité de traitement. Dans le cadre de cet examen-là, l'autorité dispose toujours d'un plein pouvoir d'appréciation.</w:t>
      </w:r>
    </w:p>
    <w:p>
      <w:r>
        <w:rPr>
          <w:b/>
        </w:rPr>
        <w:t>E. 8.1</w:t>
      </w:r>
    </w:p>
    <w:p>
      <w:r>
        <w:t>En effet, toute mesure d'éloignement doit respecter le principe de la proportionnalité, qui s'impose tant en droit interne (art. 5 al. 2 et 36 al. 3 Cst. et 96 LEtr) qu'au regard de l'art. 8 par. 2 CEDH (ATF 139 II 121 consid. 6.5.1 et 130 II 176 consid. 3.4.2). 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8.2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8.3</w:t>
      </w:r>
    </w:p>
    <w:p>
      <w:r>
        <w:t>En l'espèce, il appert que le motif retenu à l'appui de la mesure d'éloignement prise à l'endroit de la recourante (séjour illégal) ne saurait être contesté et que l'infraction aux prescriptions de police des étrangers doit être qualifiée de grave (cf. consid. 5.6 supra). Or, compte tenu du nombre élevé de contraventions commises par les étrangers, les autorités sont contraintes d'intervenir avec sévérité afin d'assurer la stricte application des prescriptions édictées dans ce domaine. Dans ces circonstances, l'intérêt personnel de la recourante à revenir en Suisse, respectivement dans l'Espace Schengen, ne saurait être prépondérant par rapport à l'intérêt public à son éloignement.</w:t>
      </w:r>
    </w:p>
    <w:p>
      <w:r>
        <w:rPr>
          <w:b/>
        </w:rPr>
        <w:t>E. 8.4</w:t>
      </w:r>
    </w:p>
    <w:p>
      <w:r>
        <w:t>La recourante a argué que son comportement délictueux avait pour raison son ignorance du dépassement des conditions temporelles de son visa ainsi que la situation médicale de son époux. Toutefois, ainsi que l'a noté l'autorité inférieure, la recourante n'a versé aucune pièce au dossier pour étayer la situation médicale de son époux. De plus, elle n'a pas établi que sa présence auprès de son compagnon fût nécessaire, et pourquoi les soins par elle requis n'auraient pu être dispensés en Suisse par une personne autre qu'elle.</w:t>
      </w:r>
    </w:p>
    <w:p>
      <w:r>
        <w:rPr>
          <w:b/>
        </w:rPr>
        <w:t>E. 8.5</w:t>
      </w:r>
    </w:p>
    <w:p>
      <w:r>
        <w:t>Enfin, en ce qui concerne l'argument selon lequel la recourante aurait agi de bonne foi et n'avait pas connu les restrictions temporelles de son visa, il sied de rappeler que de jurisprudence constante, la méconnaissance ou la mésinterprétation de la réglementation en matière de visa ou de séjour ne constitue pas un motif de renonciation au prononcé d'une mesure d'éloignement (cf. arrêts du TAF F-6487/16 du 31 mai 2017 consid. 5.4 et F-5520/15 du 19 juillet 2016 consid. 5.1 in fine et réf. cit.). Il s'agit là d'une concrétisation de la présomption selon laquelle nul n'est censé ignorer la loi (ATF 131 IV 183 consid. 3.1.1; 123 II 241 consid. 3e ; arrêt du TF 2C_951/2014 du 16 avril 2015 consid. 3.1.1). Il incombait donc à la recourante de se renseigner précisément sur les modalités exactes qui y étaient attachées et le cas échéant, de demander une dérogation aux autorités compétentes si elle souhaitait prolonger son séjour en Suisse au-delà des limites temporelles permises. L'argument selon lequel elle ignorait de bonne foi les conditions du visa qui lui avait été octroyé ne lui est d'aucun secours. En outre, le Tribunal est arrivé à la conclusion qu'elle a travaillé illégalement en Suisse.</w:t>
      </w:r>
    </w:p>
    <w:p>
      <w:r>
        <w:rPr>
          <w:b/>
        </w:rPr>
        <w:t>E. 8.6</w:t>
      </w:r>
    </w:p>
    <w:p>
      <w:r>
        <w:t>Cependant, plaide en faveur de la recourante le fait qu'elle n'a excédé que de cinq mois les limites temporelles de son visa et son souhait, compréhensible, de rejoindre son mari au lieu où il habitait pour vivre avec lui. La recourante ne s'est cependant pas prévalue dans ses écritures des protections sur le respect de la vie privée et familiale au sens de l'art. 8 CEDH. Cela dit, dans son mémoire du 20 avril 2017, elle invoque la présence en Suisse de son époux, titulaire d'une autorisation de séjour (cf. supra, let. B).</w:t>
      </w:r>
    </w:p>
    <w:p>
      <w:r>
        <w:rPr>
          <w:b/>
        </w:rPr>
        <w:t>E. 8.6.1</w:t>
      </w:r>
    </w:p>
    <w:p>
      <w:r>
        <w:t>Il sied de rappeler ici que la reconnaissance d'un droit à une autorisation de séjour par le biais de l'art. 8 CEDH revêt un caractère exceptionnel. Une telle exception suppose, outre l'existence d'une relation étroite et effective entre les époux, que le requérant soit marié avec une personne disposant d'un droit de présence assuré en Suisse ; tel est le cas si l'époux en Suisse jouit de la nationalité suisse ou d'une autorisation d'établissement, ce qui n'est pas le cas en l'espèce (cf. arrêt TAF F-1822/2017 du 21 mars 2019, consid. 7.1), le mari de la recourant n'étant titulaire que d'une autorisation de séjour). Le Tribunal fédéral a cependant précisé qu'en présence de circonstances toutes particulières une simple autorisation de séjour suffisait, s'il apparaît d'emblée et clairement que cette autorisation sera durablement prolongée, à l'avenir, par exemple pour des motifs d'ordre humanitaire (cf. arrêts 2C_360/260 du 31 janvier 2017 consid. 5.2 et 2C_551/2008 du 17 novembre 2008 consid. 4). Dans un tel cas, il faut admettre de facto pour la personne concernée l'existence d'un droit de présence durable en Suisse. Etant en Suisse de manière continue depuis maintenant 10 ans, il serait loisible au mari de la recourante de solliciter une autorisation d'établissement et le Tribunal conclut donc qu'il jouit d'un droit de présence durable en Suisse. Dans ces circonstances, le Tribunal est amené à conclure que la recourante peut solliciter que ses demandes soient examinées au regard de cette disposition conventionnelle.</w:t>
      </w:r>
    </w:p>
    <w:p>
      <w:r>
        <w:rPr>
          <w:b/>
        </w:rPr>
        <w:t>E. 8.7</w:t>
      </w:r>
    </w:p>
    <w:p>
      <w:r>
        <w:t>Sur ce plan, le Tribunal de céans relève d'abord que l'impossibilité pour la recourante de résider durablement en Suisse ne résulte pas de la mesure d'éloignement litigieuse, mais découle du fait qu'elle n'est pas titulaire d'un titre de séjour dans ce pays. Il s'ensuit que l'appréciation de la situation de la recourant susceptible d'être opérée sous l'angle de l'art. 8 CEDH dans le cadre de la présente procédure ne vise qu'à examiner si l'interdiction d'entrée prononcée à son endroit complique de façon disproportionnée le maintien de ses relations avec son époux, qui réside en Suisse.</w:t>
      </w:r>
    </w:p>
    <w:p>
      <w:r>
        <w:rPr>
          <w:b/>
        </w:rPr>
        <w:t>E. 8.8</w:t>
      </w:r>
    </w:p>
    <w:p>
      <w:r>
        <w:t>D'un autre côté, se pose la question de savoir si la relation entre époux peut être considérée comme effective, au vu du fait qu'ils passent effectivement les trois quarts de l'année séparés. Cette question peut demeurer ouverte. En effet, dans ce contexte, il convient de tenir compte du fait que la relation entre époux a débuté alors que la recourante ne disposait d'aucune autorisation de séjour en Suisse et que son mari était déjà établi en ce pays, de sorte que l'intéressée ne pouvait ignorer, lorsqu'elle l'a rencontré au Chili, qu'elle prenait le risque de devoir vivre séparée de lui.</w:t>
      </w:r>
    </w:p>
    <w:p>
      <w:r>
        <w:rPr>
          <w:b/>
        </w:rPr>
        <w:t>E. 8.9</w:t>
      </w:r>
    </w:p>
    <w:p>
      <w:r>
        <w:t>En considération de ce qui précède, la relation que la recourante a avec son mari ne saurait, en l'état, suffire pour s'opposer à la mesure d'éloignement prononcée à son encontre. Pour ce motif, le Tribunal arrive à la conclusion que le maintien de l'interdiction d'entrée en Suisse ne contreviendrait pas à la disposition conventionnelle précitée, dès lors qu'une ingérence dans l'exercice du droit à la protection de la vie familiale se révèlerait justifiée, conformément à l'art. 8 par. 2 CEDH.</w:t>
      </w:r>
    </w:p>
    <w:p>
      <w:r>
        <w:rPr>
          <w:b/>
        </w:rPr>
        <w:t>E. 8.10</w:t>
      </w:r>
    </w:p>
    <w:p>
      <w:r>
        <w:t>En conséquence, après une pondération des intérêts publics et privés en présence et au regard de l'ensemble des circonstances du cas d'espèce, le Tribunal considère que la durée de l'interdiction d'entrée querellée doit être confirmée. Par ailleurs, considérant les décisions prises par les autorités dans des cas analogues (cf. interdiction d'entrée de deux ans prononcée contre un ressortissant canadien qui a séjourné dans l'Espace Schengen illégalement pendant un peu moins de six mois, arrêt TAF F-1429/2016 du 15 novembre 2016 et l'arrêt TAF C-6655/2015 du 28 juin 2016 consacrant une interdiction d'entrée de deux ans pour un dépassement de visa de 70 jours ; voir également l'arrêt TAF F-2670/2017 du 20 avril 2018 qui confirme une interdiction d'entrée de trois ans pour un recourant qui avait non seulement dépassé les limites temporelles de son visa de 223 jours mais avait également travaillé illégalement en Suisse), il convient dès lors de rejeter le recours et de confirmer la décision de l'autorité inférieure du 17 janvier 2017.</w:t>
      </w:r>
    </w:p>
    <w:p>
      <w:r>
        <w:rPr>
          <w:b/>
        </w:rPr>
        <w:t>E. 9</w:t>
      </w:r>
    </w:p>
    <w:p>
      <w:r>
        <w:t>Au vu de l'issue de la cause, les frais de procédure sont mis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