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F-2287/2025 vom 9. April 2025</w:t>
      </w:r>
    </w:p>
    <w:p>
      <w:r>
        <w:t>Bundesverwaltungsgericht, 2025-04-09, DE</w:t>
      </w:r>
    </w:p>
    <w:p>
      <w:r>
        <w:rPr>
          <w:b/>
        </w:rPr>
        <w:t xml:space="preserve">Quelle: </w:t>
      </w:r>
      <w:r>
        <w:t>https://mcp.opencaselaw.ch/entscheid/bvger_F-2287_2025</w:t>
      </w:r>
    </w:p>
    <w:p>
      <w:r>
        <w:t>FR: TAF F-2287/2025 du 9 avril 2025</w:t>
      </w:r>
    </w:p>
    <w:p>
      <w:r>
        <w:t>IT: TAF F-2287/2025 del 9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(SR 173.32)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(SR 173.110), soweit das AsylG nichts anderes bestimmt (Art. 37 VGG und Art. 6 AsylG).</w:t>
      </w:r>
    </w:p>
    <w:p>
      <w:r>
        <w:rPr>
          <w:b/>
        </w:rPr>
        <w:t>E. 1.3</w:t>
      </w:r>
    </w:p>
    <w:p>
      <w:r>
        <w:t>Gemäss Art. 33a Abs. 1-2 VwVG haben schriftliche Eingaben in einer der vier schweizerischen Amtssprachen zu erfolgen, andernfalls dies zu berichtigen ist (vgl. Art. 42 Abs. 1 BGG i.V.m. Art. 4 VwVG, Art. 52 Abs. 2 VwVG; BGE 136 I 149, 152 E. 4.1; Thomas Pfisterer, in: Auer/Müller/Schindler [Hrsg.], Kommentar zum Bundesgesetz über das Verwaltungsverfahren, 2. Aufl. 2019, Art. 33a VwVG, Rz. 64 f.). Vorliegend verfasste der Beschwerdeführer seine Beschwerde grundsätzlich auf Deutsch, seine Begründung jedoch auf Belarussisch. Da die Begründung nur aus ein paar Sätzen besteht und sie gerichtsintern ins Deutsche übersetzt werden konnte, rechtfertigt es sich vorliegend, aus prozessökonomischen Gründen und mit Verweis auf das Verhältnismässigkeitsgebot (Art. 5 Abs. 2 BV), ausnahmsweise auf eine Berichtigung zu verzichten.</w:t>
      </w:r>
    </w:p>
    <w:p>
      <w:r>
        <w:rPr>
          <w:b/>
        </w:rPr>
        <w:t>E. 1.4</w:t>
      </w:r>
    </w:p>
    <w:p>
      <w:r>
        <w:t>Im Übrigen wurde die Beschwerde form- und fristgerecht eingereicht (Art. 108 Abs. 3 AsylG und Art. 52 Abs. 1 VwVG). Der Beschwerdeführer ist zur Beschwerdeführung legitimiert (Art. 48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Es ist nicht ersichtlich, inwiefern die Vorinstanz zu gewissen Sachverhaltselementen noch konkretere Abklärungen hätte vornehmen müssen. Der Beschwerdeführer erläutert nicht, inwiefern die Vorinstanz den Sachverhalt falsch oder nicht vollständig erstellt hätte. Auch aus den Akten ergeben sich keine Hinweise, welche auf eine falsche oder unvollständige Sachverhaltserstellung hinweisen würden. Die Vorinstanz hat den Sachverhalt korrekt festgestellt (Art. 12 VwVG). Das entsprechende Eventualbegehren erweist sich als unsubstantiiert und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Gestützt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in Verbindung mit dem Dublin-Assoziierungsabkommen vom 26. Oktober 2004 (DAA; SR 0.142.392.68) kommt im folgenden Fall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w:t>
      </w:r>
    </w:p>
    <w:p>
      <w:r>
        <w:rPr>
          <w:b/>
        </w:rPr>
        <w:t>E. 5.3</w:t>
      </w:r>
    </w:p>
    <w:p>
      <w:r>
        <w:t>Gemäss Art. 3 Abs. 1 Dublin-III-VO wird jeder Asylantrag von einem einzigen Mitgliedstaat geprüft, der nach den Kriterien des Kapitels III als zuständiger Staat bestimmt wird. Falls das Asylverfahren und die Aufnahmebedingungen für Antragstellende in einem Mitgliedstaat systemische Schwachstellen aufweisen, ist eine Überstellung in diesem Staat nicht möglich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(SR 0.101) oder einer anderen die Schweiz bindenden, völkerrechtlichen Bestimmung, muss die Vorinstanz die Souveränitätsklausel anwenden und das Asylgesuch in der Schweiz behandeln (BVGE 2015/9 E. 8.2.1; 2010/45 E. 7.2). Gemäss Praxis des Bundesverwaltungsgerichts verfügt das SEM bei der Anwendung der Kann-Bestimmung von Art. 29a Abs. 3 AsylV 1 über einen Ermessensspielraum (vgl. BVGE 2015/9 E. 7 f.). Das Gericht überprüft den vorinstanzlichen Verzicht der Anwendung von Art. 29a Abs. 3 AsylV 1 nicht auf dessen Angemessenheit hin; es beschränkt seine Beurteilung darauf, ob die Vorinstanz den Sachverhalt korrekt und vollständig erhoben, allen wesentlichen Umständen Rechnung getragen und seinen Ermessensspielraum genutzt hat (vgl. Art. 106 Abs. 1 Bst. a und b AsylG).</w:t>
      </w:r>
    </w:p>
    <w:p>
      <w:r>
        <w:rPr>
          <w:b/>
        </w:rPr>
        <w:t>E. 6</w:t>
      </w:r>
    </w:p>
    <w:p>
      <w:r>
        <w:t>Ein Abgleich der Fingerabdrücke des Beschwerdeführers mit der Eurodac-Datenbank ergab, dass er innerhalb des Dublin-Raums erstmalig am 11. Juni 2019 in Island ein Asylgesuch gestellt hat (vgl. SEM-act. 7/2). Die isländischen Behörden stimmten dem Übernahmeersuchen der Vorinstanz mit Schreiben vom 25. März 2025 gestützt auf Art. 18 Abs. 1 Bst. d Dublin-III-VO ausdrücklich zu (vgl. SEM-act. 20/1). Die grundsätzliche Zuständigkeit Islands für die Prüfung des vorliegenden Antrags auf internationalen Schutz ist somit gegeben.</w:t>
      </w:r>
    </w:p>
    <w:p>
      <w:r>
        <w:rPr>
          <w:b/>
        </w:rPr>
        <w:t>E. 7</w:t>
      </w:r>
    </w:p>
    <w:p>
      <w:r>
        <w:t>Island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wobei das Land nach Auffassung der Schweiz seinen diesbezüglichen völkerrechtlichen Verpflichtungen nachkommt. Das Gleiche gilt auch für die Rechte, die sich für Schutzsuchende aus den Richtlinien des Europäischen Parlaments und des Rates ergeben (vgl. insbes.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An dieser Einschätzung vermögen die Ausführungen des Beschwerdeführers während des Dublin-Gesprächs, wonach sein Asylgesuch in Island nicht geprüft worden sei (vgl. SEM-act. 11/3), nichts zu ändern. Die Anwendung von Art. 3 Abs. 2 Dublin-III-VO fällt somit nicht in Betracht.</w:t>
      </w:r>
    </w:p>
    <w:p>
      <w:r>
        <w:rPr>
          <w:b/>
        </w:rPr>
        <w:t>E. 8.1</w:t>
      </w:r>
    </w:p>
    <w:p>
      <w:r>
        <w:t>Nachfolgend ist zu prüfen, ob die Schweiz - wie vom Beschwerdeführer implizit gefordert - das Selbsteintrittsrecht nach Art. 17 Abs. 1 Satz 1 Dublin-III-VO (konkretisiert in Art. 29a Abs. 3 AsylV 1) auszuüben hat.</w:t>
      </w:r>
    </w:p>
    <w:p>
      <w:r>
        <w:rPr>
          <w:b/>
        </w:rPr>
        <w:t>E. 8.2</w:t>
      </w:r>
    </w:p>
    <w:p>
      <w:r>
        <w:t>Im Rahmen des Dublin-Systems gilt die Vermutung, dass alle Mitgliedstaaten des Dublin-Raums ihren völkerrechtlichen Verpflichtungen nachkommen. Diese Vermutung kann jedoch durch ernsthafte Hinweise dafür, dass die Behörden des zuständigen Dublin-Staats im konkreten Fall das internationale Recht nicht respektieren, widerlegt werden (vgl. BVGE 2010/40 E. 7.4 f.). Dies gelingt dem Beschwerdeführer nicht. Entgegen seiner im Dublin-Gespräch (vgl. SEM-act. 11/3) und in der Beschwerde erhobenen Behauptungen die Unterbringung und die medizinische Versorgung betreffend, gibt es auch keinen Grund zur Annahme, die ihn bei einer Rückführung erwartenden Bedingungen in Island seien derart schlecht, dass sie zu einer Verletzung von Art. 3 EMRK oder Art. 3 FoK führen könnten. Der Beschwerdeführer hat auch keine konkreten Hinweise für die Annahme dargetan, Island würde ihm dauerhaft die ihm gemäss Aufnahmerichtlinie zustehenden minimalen Lebensbedingungen vorenthalten. Bei einer allfälligen vorübergehenden Einschränkung könnte er sich im Übrigen an die dortigen Behörden wenden und die ihm zustehenden Aufnahmebedingungen auf dem Rechtsweg einfordern (vgl. Art. 26 Aufnahmerichtlinie). Somit besteht auch kein Anlass, die Vorinstanz anzuweisen, Zusicherungen betreffend Obdach, Nahrung und adäquate medizinische Behandlung einzuholen. Das entsprechende Subeventualbegehren ist abzuweisen.</w:t>
      </w:r>
    </w:p>
    <w:p>
      <w:r>
        <w:rPr>
          <w:b/>
        </w:rPr>
        <w:t>E. 8.3</w:t>
      </w:r>
    </w:p>
    <w:p>
      <w:r>
        <w:t>Was den medizinischen Sachverhalt anbelangt, so kann eine zwangsweise Rückweisung von Personen mit gesundheitlichen Problemen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 Anlässlich einer ärztlichen Konsultation gab der Beschwerdeführer diesbezüglich am 7. März 2025 an, er leide an Bluthochdruck, Schlafstörungen und Magenbrennen. Zudem habe er in der Zeitspanne 2021/2022 einen Herzinfarkt erlitten (vgl. SEM-act. 15/3). Während des Dublin-Gesprächs vom 14. März 2025 korrigierte er seine Angaben dahingehend, als er keinen Herzinfarkt, sondern zwei Schlaganfälle erlitten habe (vgl. SEM-act. 11/3). Die geltend gemachten gesundheitlichen Beeinträchtigungen erscheinen nicht als derart gravierend, dass gestützt auf Art. 3 EMRK von einer Überstellung nach Island abgesehen werden müsste. Was insbesondere die beiden vom Beschwerdeführer in der Vergangenheit angeblich erlittenen Schlaganfälle anbelangt, konnte er diese nicht anhand von medizinischen Unterlagen belegen; auch liegen keinerlei Hinweise dafür vor, dass ein solcher medizinischer Zustand nicht stabilisiert werden konnte. Selbst wenn die Schlaganfälle belegt wären, würde dies somit keine akute medizinische Notlage darstellen, die einer Überstellung nach Island entgegenstünde. Die vollziehenden Behörden werden die isländischen Behörden im Sinne von Art. 31 und Art. 32 Dublin-III-VO vorgängig bezüglich des Gesundheitszustandes des Beschwerdeführers informieren (vgl. Urteil des BVGer D-4163/2022 vom 2. Februar 2023 E. 9.3.3).</w:t>
      </w:r>
    </w:p>
    <w:p>
      <w:r>
        <w:rPr>
          <w:b/>
        </w:rPr>
        <w:t>E. 9</w:t>
      </w:r>
    </w:p>
    <w:p>
      <w:r>
        <w:t>Die Vorinstanz hat nach dem Gesagten treffend festgehalten, dass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AsylV 1 zukommenden Ermessens von einem freiwilligen Selbsteintritt der Schweiz abgesehen. Sie ist demnach zu Recht in Anwendung von Art. 31a Abs. 1 Bst. b AsylG auf das Asylgesuch des Beschwerdeführers nicht eingetreten.</w:t>
      </w:r>
    </w:p>
    <w:p>
      <w:r>
        <w:rPr>
          <w:b/>
        </w:rPr>
        <w:t>E. 10</w:t>
      </w:r>
    </w:p>
    <w:p>
      <w:r>
        <w:t>Die angefochtene Verfügung vom 26. März 2025 ist nicht zu beanstanden und die Beschwerde abzuweisen. Mit vorliegendem Urteil fällt der am3. April 2025 angeordnete Vollzugsstopp dahin und das Gesuch um Erteilung der aufschiebenden Wirkung wird gegenstandslos.</w:t>
      </w:r>
    </w:p>
    <w:p>
      <w:r>
        <w:rPr>
          <w:b/>
        </w:rPr>
        <w:t>E. 11</w:t>
      </w:r>
    </w:p>
    <w:p>
      <w:r>
        <w:t>Das Gesuch um Gewährung der unentgeltlichen Rechtspflege ist abzuweisen, da die Begehren - wie sich aus den vorstehenden Erwägungen ergibt - als aussichtslos zu bezeichnen sind (Art. 65 Abs. 1 VwVG). Angesichts des Ausgangs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