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F-227/2025 vom 16. Januar 2024</w:t>
      </w:r>
    </w:p>
    <w:p>
      <w:r>
        <w:t>Bundesverwaltungsgericht, 2024-01-16, DE</w:t>
      </w:r>
    </w:p>
    <w:p>
      <w:r>
        <w:rPr>
          <w:b/>
        </w:rPr>
        <w:t xml:space="preserve">Quelle: </w:t>
      </w:r>
      <w:r>
        <w:t>https://mcp.opencaselaw.ch/entscheid/bvger_F-227_2025</w:t>
      </w:r>
    </w:p>
    <w:p>
      <w:r>
        <w:t>FR: TAF F-227/2025 du 16 janvier 2024</w:t>
      </w:r>
    </w:p>
    <w:p>
      <w:r>
        <w:t>IT: TAF F-227/2025 del 16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zur Beschwerdeführung legitimiert (Art. 48 Abs. 1 VwVG). Auf die frist- und formgerecht eingereichte Beschwerde ist einzutreten (Art. 108 Abs. 3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Die Beschwerdeführenden rügen zunächst, die Vorinstanz habe den rechtserheblichen Sachverhalt nicht korrekt abgeklärt sowie keine einzelfallbezogene Prüfung der Gesuche vorgenommen. Diese formellen Rügen sind vorab zu beurteilen, da sie allenfalls geeignet sind, eine Rückweisung der Sache an die Vorinstanz zu rechtfertigen (vgl. BGE 138 I 232 E. 5).</w:t>
      </w:r>
    </w:p>
    <w:p>
      <w:r>
        <w:rPr>
          <w:b/>
        </w:rPr>
        <w:t>E. 4.2</w:t>
      </w:r>
    </w:p>
    <w:p>
      <w:r>
        <w:t>Eine Prüfung der Verfügung der Vorinstanz auf eine etwaige Verletzung ihrer Prüf- und Begründungspflicht (vgl. zum Vorgehen statt vieler Urteil des BVGer F-4274/2023 vom 13. März 2024 E. 3) lässt aber weder eine Verletzung des Untersuchungsgrundsatzes (Art. 106 Abs. 1 Bst. b AsylG; Art. 49 Bst. b VwVG; vgl. ferner m.w.H. BGE 140 I 285 E. 6.3.1) noch der Begründungspflicht erkennen (Art. 35 Abs.1 VwVG; vgl. ferner auch m.w.H. BGE 145 IV 99 E. 3.1; 143 III 65 E. 5.2). Die Vorinstanz hat sich vertieft mit den Vorbringen der Beschwerdeführenden auseinandergesetzt. Es ist nicht ersichtlich, inwiefern sie noch weitere Abklärungen hätte treffen müssen. Anhand einer Einzelfallprüfung hat sie hinreichend nachvollziehbar begründet, von welchen Überlegungen sie sich, gerade auch in individueller Hinsicht, bei ihrem Entscheid leiten liess.</w:t>
      </w:r>
    </w:p>
    <w:p>
      <w:r>
        <w:rPr>
          <w:b/>
        </w:rPr>
        <w:t>E. 4.3</w:t>
      </w:r>
    </w:p>
    <w:p>
      <w:r>
        <w:t>Die formellen Rügen erweisen sich somit als unbegründet. Sie betreffen auch teilweise die Frage der unrichtigen Würdigung des Sachverhalts und sind materieller Art, worauf noch eingegangen wird. Der Eventualantrag zur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wird jeder Asylantrag vom Mitgliedstaat geprüft, der nach den Kriterien des Kapitels III der Dublin-III-VO zuständig ist (vgl. auch Art. 7 Abs. 1 Dublin-III-VO). Die Dublin-III-VO räumt den Schutzsuchenden kein Recht ein, den ihren Antrag prüfenden Staat selber auszuwählen (vgl. BVGE 2010/45 E. 8.3).</w:t>
      </w:r>
    </w:p>
    <w:p>
      <w:r>
        <w:rPr>
          <w:b/>
        </w:rPr>
        <w:t>E. 5.2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 Gemäss Praxis des Bundesverwaltungsgerichts verfügt das SEM bei der Anwendung der Kann-Bestimmung von Art. 29a Abs. 3 AsylV 1 über einen Ermessensspielraum (vgl. BVGE 2015/9 E. 7 f.). Das Gericht überprüft daher den vorinstanzlichen Verzicht der Anwendung von Art. 29a Abs. 3 AsylV 1 nicht auf dessen Angemessenheit hin; es beschränkt seine Beurteilung darauf, ob die Vorinstanz den Sachverhalt korrekt und vollständig erhoben, allen wesentlichen Umständen Rechnung getragen und seinen Ermessensspielraum genutzt hat (vgl. Art. 106 Abs. 1 Bst. a und b AsylG).</w:t>
      </w:r>
    </w:p>
    <w:p>
      <w:r>
        <w:rPr>
          <w:b/>
        </w:rPr>
        <w:t>E. 6.1</w:t>
      </w:r>
    </w:p>
    <w:p>
      <w:r>
        <w:t>Kroatien hat der Aufnahme der Beschwerdeführenden gestützt auf Art. 20 Abs. 5 Dublin-III-VO vorbehaltlos zugestimmt (vgl. SEM-act. 34/2, 35/2). Die Vorinstanz ist demnach richtigerweise davon ausgegangen, dass gemäss den Bestimmungen der Dublin-III-VO grundsätzlich dieses Land für die Behandlung der Asylgesuche der Beschwerdeführenden zuständig ist. Darüber hinaus hat sie zutreffend erwogen, das kroatische Asylsystem weise rechtsprechungsgemäss keine systemischen Mängel auf (vgl. Urteil des BVGer E-1488/2020 vom 22. März 2023 E. 9.5 [alsReferenzurteil publiziert]; jüngst Urteil des BVGer F-7676/2024 vom18. Dezember 2024 E. 3.2), aufgrund derer die Zuständigkeit gemäss Art. 3 Abs. 2 Dublin-III-VO auf die Schweiz überginge und es seien keine völkerrechtlichen Vollzugshindernisse ersichtlich, welche die Schweiz zu einem Selbsteintritt nach Art. 17 Abs. 1 Dublin-III-VO verpflichten würden. Dabei hat sie insbesondere die Vorbringen der Beschwerdeführenden im Hinblick auf die Situation in Kroatien und ihre zu keiner weiteren Ausführungen veranlassenden Gesundheitszustände (vgl. SEM-act. 32/2, 33/2, 36/2) berücksichtigt und rechtsprechungskonform gewürdigt. Des Weiteren hat die Vorinstanz zu Recht festgestellt, dass der Wunsch der Beschwerdeführenden bei ihrem hierzulande lebenden Cousin verbleiben zu können, keinen Einfluss auf die Zuständigkeit der Schweiz für das Asyl- und Wegweisungsverfahren im Rahmen des Dublin-Systems hat. Dasselbe gilt auch für das Vorbringen auf Beschwerdeebene, wonach die Vorinstanz durch das Unterlassen der Würdigung der Beziehung der Beschwerdeführenden zum minderjährigen Bruder des Vaters ihrer Familie, welcher mit ihnen zusammen in der Schweiz ein Asylgesuch einreichte, gegen die Dublin-Verordnung verstossen habe (vgl. Art. 2 Bst. g. Dublin-III-VO für die Definition von Familienangehörigen im Rahmen des Dublin-Systems sowie Art. 10 Dublin-III-VO für die davon abgeleitete Zuständigkeitsbestimmung bei asylsuchenden Familienangehörigen). Im Übrigen kann auf die Erwägungen in der angefochtenen Verfügung verwiesen werden.</w:t>
      </w:r>
    </w:p>
    <w:p>
      <w:r>
        <w:rPr>
          <w:b/>
        </w:rPr>
        <w:t>E. 7</w:t>
      </w:r>
    </w:p>
    <w:p>
      <w:r>
        <w:t>Die Vorinstanz hat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die Asylgesuche der Beschwerdeführenden nicht eingetreten und hat sie in Anwendung von Art. 44 AsylG nach Kroatien weggewiesen. Die angefochtene Verfügung ist nicht zu beanstanden und die Beschwerde ist abzuweisen.</w:t>
      </w:r>
    </w:p>
    <w:p>
      <w:r>
        <w:rPr>
          <w:b/>
        </w:rPr>
        <w:t>E. 8.1</w:t>
      </w:r>
    </w:p>
    <w:p>
      <w:r>
        <w:t>Mit dem Entscheid in der Hauptsache sind die Gesuche um Erteilung der aufschiebenden Wirkung und um Verzicht auf die Erhebung eines Kostenvorschusses gegenstandslos geworden. Der am 14. Januar 2024 verfügte einstweilige Vollzugsstopp fällt mit dem vorliegenden Urteil dahin.</w:t>
      </w:r>
    </w:p>
    <w:p>
      <w:r>
        <w:rPr>
          <w:b/>
        </w:rPr>
        <w:t>E. 8.2</w:t>
      </w:r>
    </w:p>
    <w:p>
      <w:r>
        <w:t>Das Gesuch um Gewährung der unentgeltlichen Prozessführung ist abzuweisen, da die Begehren - wie sich aus den vorstehenden Erwägungen ergibt - als offensichtlich aussichtslos zu bezeichnen sind (Art. 65 Abs. 1 VwVG). Die Verfahrenskosten sind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