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F-2276/2024 vom 3. September 2024</w:t>
      </w:r>
    </w:p>
    <w:p>
      <w:r>
        <w:t>Bundesverwaltungsgericht, 2024-09-03, DE</w:t>
      </w:r>
    </w:p>
    <w:p>
      <w:r>
        <w:rPr>
          <w:b/>
        </w:rPr>
        <w:t xml:space="preserve">Quelle: </w:t>
      </w:r>
      <w:r>
        <w:t>https://mcp.opencaselaw.ch/entscheid/bvger_F-2276_2024</w:t>
      </w:r>
    </w:p>
    <w:p>
      <w:r>
        <w:t>FR: TAF F-2276/2024 du 3 septembre 2024</w:t>
      </w:r>
    </w:p>
    <w:p>
      <w:r>
        <w:t>IT: TAF F-2276/2024 del 3 settembre 2024</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Der Beschwerdeführer ist zur Beschwerde legitimiert (Art. 48 Abs. 1 VwVG). Auf die frist- und formgerecht eingereichte Beschwerde ist einzutreten (Art. 50 Abs. 1 und 52 Abs. 1 VwVG).</w:t>
      </w:r>
    </w:p>
    <w:p>
      <w:r>
        <w:rPr>
          <w:b/>
        </w:rPr>
        <w:t>E. 2</w:t>
      </w:r>
    </w:p>
    <w:p>
      <w:r>
        <w:t>Mit Beschwerde an das Bundesverwaltungsgericht kann die Verletzung</w:t>
      </w:r>
    </w:p>
    <w:p>
      <w:r>
        <w:t>F-2276/2024 Seite 3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rPr>
          <w:b/>
        </w:rPr>
        <w:t>E. 3</w:t>
      </w:r>
    </w:p>
    <w:p>
      <w:r>
        <w:t>Der angefochtenen Verfügung liegt ein Gesuch einer sri-lankischen Staats- angehörigen um Erteilung eines Visums zu Besuchszwecken in der Schweiz zugrunde. Da sich die Gesuchstellerin als Drittstaatsangehörige nicht auf die EU/EFTA-Personenfreizügigkeitsabkommen berufen kann und die beabsichtigte Aufenthaltsdauer 90 Tage nicht überschreitet, fällt die Streitsache in den Anwendungsbereich der Schengen-Assoziierungsab- kommen, mit denen die Schweiz den Schengen-Besitzstand sowie die da- zugehörigen gemeinschaftsrechtlichen Rechtsakte übernommen hat (BVGE 2014/1 E. 3; 2011/48 E. 3). Das AIG und dessen Ausführungsbe- stimmungen gelangen nur soweit zur Anwendung, als die Schengen-Asso- ziierungsabkommen keine abweichenden Bestimmungen enthalten (Art. 2 Abs. 4 AIG).</w:t>
      </w:r>
    </w:p>
    <w:p>
      <w:r>
        <w:rPr>
          <w:b/>
        </w:rPr>
        <w:t>E. 4.1</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w:t>
      </w:r>
    </w:p>
    <w:p>
      <w:r>
        <w:t>F-2276/2024 Seite 4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[nachfol- gend: EU-Visa-VO]). Des Weiteren müssen Drittstaatsangehörige den Zweck und die Umstände ihres beabsichtigten Aufenthalts belegen und hierfür über ausreichende finanzielle Mittel verfügen. Sie dürfen nicht im Schengener Informationssystem (SIS) zur Einreiseverweigerung ausge- schrieben sein und keine Gefahr für die öffentliche Ordnung, die innere Sicherheit, die öffentliche Gesundheit oder die internationalen Beziehun- 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Gemeinschaftskodex für das Über- schreiten der Grenzen durch Personen [Schengener Grenzkodex, SGK, ABl. L 77/1 vom 23. Juni 2016]; Art. 14 Abs. 1 und Art. 21 Abs. 1 der Ver- ordnung [EG] Nr. 810/2009 des Europäischen Parlaments und des Rates vom 13. Juli 2009 über einen Visakodex der Gemeinschaft [Visakodex, VK, ABl. L 243/1 vom 15. September 2009]).</w:t>
      </w:r>
    </w:p>
    <w:p>
      <w:r>
        <w:rPr>
          <w:b/>
        </w:rPr>
        <w:t>E. 4.3</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 Person hat dement- sprechend zu belegen, dass die Gefahr einer rechtswidrigen Einwande- rung oder einer nicht fristgerechten Ausreise nicht besteht respektive dass Gewähr für die gesicherte Wiederausreise geboten wird (vgl. Art. 14 Abs. 1 Bst. d VK; Art. 21 Abs. 1 VK; Art. 12 VEV; BVGE 2014/1 E. 4.4). Das Visum ist zu verweigern, wenn begründete Zweifel an der Echtheit der von der gesuchstellenden Person eingereichten Belege oder am Wahrheitsgehalt ihres Inhalts, an der Glaubhaftigkeit ihrer Aussagen oder der von ihr be- kundeten Absicht bestehen, das Hoheitsgebiet der Mitgliedstaaten vor Ab- lauf der Gültigkeit des beantragten Visums zu verlassen (Art. 32 Abs. 1 Bst. b VK).</w:t>
      </w:r>
    </w:p>
    <w:p>
      <w:r>
        <w:t>F-2276/2024 Seite 5</w:t>
      </w:r>
    </w:p>
    <w:p>
      <w:r>
        <w:rPr>
          <w:b/>
        </w:rPr>
        <w:t>E. 5</w:t>
      </w:r>
    </w:p>
    <w:p>
      <w:r>
        <w:t>Strittig ist, ob die sri-lankische Gesuchstellerin hinreichend Gewähr für ihre fristgerechte Wiederausreise aus dem Schengen-Raum bietet. Ausser Frage steht dabei die gegebene Visumspflicht (Art. 8 Abs. 1 VEV i.V.m. An- hang I EU-Visa-VO).</w:t>
      </w:r>
    </w:p>
    <w:p>
      <w:r>
        <w:rPr>
          <w:b/>
        </w:rPr>
        <w:t>E. 5.1</w:t>
      </w:r>
    </w:p>
    <w:p>
      <w:r>
        <w:t>Bei der Beurteilung des Kriteriums der gesicherten Wiederausreise muss ein zukünftiges Verhalten beurteilt werden. Hierzu sind lediglich Prognosen möglich, wobei sämtliche Umstände des konkreten Einzelfalls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5.2</w:t>
      </w:r>
    </w:p>
    <w:p>
      <w:r>
        <w:t>Sri Lanka leidet an einer Wirtschafts- und Finanzkrise. Im ganzen Land besteht die Gefahr von gewaltsamen Ausschreitungen, Streiks und Versor- gungsengpässen (vgl. einlässlich dazu das Urteil des BVGer F-4154/2023 vom 5. Juni 2024 E. 4.2 m.w.H.). In Anbetracht dieser Umstände ist nicht zu beanstanden, wenn die Vorinstanz das Risiko einer nicht fristgerechten Wiederausreise von gesuchstellenden Personen aus Sri Lanka allgemein als erheblich einschätzt.</w:t>
      </w:r>
    </w:p>
    <w:p>
      <w:r>
        <w:rPr>
          <w:b/>
        </w:rPr>
        <w:t>E. 5.3</w:t>
      </w:r>
    </w:p>
    <w:p>
      <w:r>
        <w:t>Nebst den allgemeinen Verhältnissen im Herkunftsland sind in die Ri- sikoanalyse auch die Umstände des konkreten Einzelfalls, insbesondere die berufliche, gesellschaftliche und familiäre Verantwortung der gesuch- stellenden Person im Herkunftsland miteinzubeziehen. Bei Personen, die in ihrer Heimat keine besonderen Verpflichtungen wahrnehmen oder die sich in wirtschaftlich ungünstigen Verhältnissen befinden, muss das Risiko eines ausländerrechtlich nicht regelkonformen Verhaltens nach einer be- willigten Einreise als vergleichsweise hoch eingeschätzt werden (vgl. BVGE 2019 VII/1 E. 7.2; 2014/1 E. 6.3.1; 2009/27 E. 8).</w:t>
      </w:r>
    </w:p>
    <w:p>
      <w:r>
        <w:rPr>
          <w:b/>
        </w:rPr>
        <w:t>E. 5.4</w:t>
      </w:r>
    </w:p>
    <w:p>
      <w:r>
        <w:t>Den Akten zufolge ist die 71-jährige Gesuchstellerin verwitwet und wohnt in (…), einer Stadt an der Ostküste von Sri Lanka etwa 7.5 Autostun- den von Colombo entfernt. Sie ist Mutter von vier erwachsenen Kindern, von denen gemäss der Eingabe des Beschwerdeführers vom 6. Februar 2024 zwei in Sri Lanka, eines in den USA und eines in Finnland leben. Mit zwei in Sri Lanka lebenden Kindern verfügt die Gesuchstellerin zwar über</w:t>
      </w:r>
    </w:p>
    <w:p>
      <w:r>
        <w:t>F-2276/2024 Seite 6 ein dortiges familiäres Beziehungsnetz, sie macht aber keine Verpflichtun- gen oder gar Abhängigkeiten im familiären oder persönlichen Umfeld gel- tend, die besondere Gewähr für eine Rückkehr nach Sri Lanka bieten könn- ten. Das Emigrationsrisiko ist zusätzlich erhöht, wenn – wie im vorliegen- den Fall – durch die Anwesenheit des Bruders in der Schweiz bereits ein soziales Beziehungsnetz besteht (vgl. BVGE 2014/1 E. 6.2.2; Urteil des BVGer F-2974/2023 vom 29. Februar 2024 E. 8.1).</w:t>
      </w:r>
    </w:p>
    <w:p>
      <w:r>
        <w:rPr>
          <w:b/>
        </w:rPr>
        <w:t>E. 5.5</w:t>
      </w:r>
    </w:p>
    <w:p>
      <w:r>
        <w:t>Der Beschwerdeführer macht geltend, die Gesuchstellerin sei Rentne- rin und führe ihre eigene Goldschmiede-Werkstatt. Damit erziele sie gutes Einkommen. Dazu sind den Akten jedoch keine Hinweise zu entnehmen. Die behaupteten guten wirtschaftlichen Verhältnisse bleiben völlig unbe- legt. Aktenkundig ist einzig, dass das Sparkonto der Gesuchstellerin einem Bankauszug vom 9. November 2023 zufolge gleichentags einen Saldo von 1'273 sri-lankischen Rupien (Fr. 3.70) auswies und dass sie auf einem am</w:t>
      </w:r>
    </w:p>
    <w:p>
      <w:r>
        <w:rPr>
          <w:b/>
        </w:rPr>
        <w:t>E. 5.6</w:t>
      </w:r>
    </w:p>
    <w:p>
      <w:r>
        <w:t>Bevor der Beschwerdeführer für die Gesuchstellerin ein Visum bean- tragte, ersuchte diese bei der Schweizer Botschaft in Colombo selbst um ein Visum für einen Besuchsaufenthalt für einen vom 5. Januar 2024 bis zum 5. April 2024 dauernden Besuch bei ihrer in Finnland wohnhaften Tochter. Gemäss der Aktennotiz der Schweizer Botschaft in Colombo vom 22. Dezember 2023 können in Sri Lanka keine finnischen Visa mehr bean- tragt werden. Vor diesem Hintergrund sind die Angaben des Beschwerde- führers in Bezug auf den Besuchszweck unglaubwürdig und es kann nicht ausgeschlossen werden, dass die Gesuchstellerin einen dauerhaften Ver- bleib bei ihrem Bruder in der Schweiz oder bei ihrer erwachsenen Tochter in Finnland anstrebt.</w:t>
      </w:r>
    </w:p>
    <w:p>
      <w:r>
        <w:rPr>
          <w:b/>
        </w:rPr>
        <w:t>E. 5.7</w:t>
      </w:r>
    </w:p>
    <w:p>
      <w:r>
        <w:t>Soweit der Beschwerdeführer vorbringt, die Gesuchstellerin sei bereits im Jahr 2017 in den Schengen-Raum eingereist und fristgerecht wieder ausgereist, ist festzuhalten, dass die Entscheidung über die Visumsertei-</w:t>
      </w:r>
    </w:p>
    <w:p>
      <w:r>
        <w:t>F-2276/2024 Seite 7 lung aufgrund der derzeitigen Situation im Herkunftsland und der aktuellen persönlichen Umstände der gesuchstellenden Person zu erfolgen hat. Zu einem früheren Zeitpunkt erteilte Visa können somit nicht als Grundlage für eine neue Entscheidung herangezogen werden.</w:t>
      </w:r>
    </w:p>
    <w:p>
      <w:r>
        <w:rPr>
          <w:b/>
        </w:rPr>
        <w:t>E. 5.8</w:t>
      </w:r>
    </w:p>
    <w:p>
      <w:r>
        <w:t>Auch die Zusicherung einer fristgerechten Ausreise durch den Be- schwerdeführer ändert nichts daran, dass der Zweck und die Bedingungen des geplanten Aufenthalts nicht glaubhaft sind und dass die Gesuchstelle- rin keine hinreichende Gewähr für ihre fristgerechte Wiederausreise aus dem Schengen-Raum bietet. Gastgeber und Garanten können zwar mit rechtlich verbindlicher Wirkung für gewisse finanzielle Risiken im Zusam- menhang mit dem Besuchsaufenthalt, nicht aber für ein bestimmtes Ver- halten der eingeladenen Person einstehen (vgl. BVGE 2014/1 E. 6.3.7 und BVGE 2009/27 E. 9). Zudem sind auf dem Auszug aus dem Betreibungs- register (…) betreffend den Beschwerdeführer seit seinem Zuzug im Jahr 2021 insgesamt 30 Einträge vorhanden. Somit ist mehr als fraglich, ob der Beschwerdeführer dazu in der Lage wäre, für die genannten finanziellen Risiken einzustehen.</w:t>
      </w:r>
    </w:p>
    <w:p>
      <w:r>
        <w:rPr>
          <w:b/>
        </w:rPr>
        <w:t>E. 6</w:t>
      </w:r>
    </w:p>
    <w:p>
      <w:r>
        <w:t>Im Ergebnis hat die Vorinstanz das nachgesuchte Visum für den Schen- gen-Raum zu Recht verweigert. Gründe humanitärer oder anderer Art, wel- che die Erteilung eines Visums mit räumlich beschränkter Gültigkeit zu rechtfertigen vermöchten, wurden nicht geltend gemacht und sind auch nicht ersichtlich. Die angefochtene Verfügung erweist sich als rechtmässig (Art. 49 VwVG). Die Beschwerde ist abzuweisen.</w:t>
      </w:r>
    </w:p>
    <w:p>
      <w:r>
        <w:rPr>
          <w:b/>
        </w:rPr>
        <w:t>E. 7</w:t>
      </w:r>
    </w:p>
    <w:p>
      <w:r>
        <w:t>Entsprechend dem Verfahrensausgang sind die Kosten dem unterliegen- den Beschwerdeführer aufzuerlegen und auf Fr. 900.– festzusetzen (vgl. Art. 63 Abs. 1 VwVG i.V.m. Art. 1 ff. des Reglements vom 21. Februar 2008 über die Kosten und Entschädigungen vor dem Bundesverwaltungsgericht [VGKE, SR 173.320.2]). Sie sind durch den in derselben Höhe am 21. Mai 2024 geleisteten Kostenvorschuss gedeckt.</w:t>
      </w:r>
    </w:p>
    <w:p>
      <w:r>
        <w:rPr>
          <w:b/>
        </w:rPr>
        <w:t>E. 8</w:t>
      </w:r>
    </w:p>
    <w:p>
      <w:r>
        <w:t>Das Bundesverwaltungsgericht entscheidet in der vorliegenden Angele- genheit endgültig (Art. 83 Bst. c Ziff. 1 BGG vgl. dazu Urteil des BGer 2C_316/2024 vom 21. Juni 2024 E. 2).</w:t>
      </w:r>
    </w:p>
    <w:p>
      <w:r>
        <w:t>F-2276/2024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