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F-2276/2019 vom 7. Dezember 2020</w:t>
      </w:r>
    </w:p>
    <w:p>
      <w:r>
        <w:t>Bundesverwaltungsgericht, 2020-12-07, DE</w:t>
      </w:r>
    </w:p>
    <w:p>
      <w:r>
        <w:rPr>
          <w:b/>
        </w:rPr>
        <w:t xml:space="preserve">Quelle: </w:t>
      </w:r>
      <w:r>
        <w:t>https://mcp.opencaselaw.ch/entscheid/bvger_F-2276_2019</w:t>
      </w:r>
    </w:p>
    <w:p>
      <w:r>
        <w:t>FR: TAF F-2276/2019 du 7 décembre 2020</w:t>
      </w:r>
    </w:p>
    <w:p>
      <w:r>
        <w:t>IT: TAF F-2276/2019 del 7 dicembre 2020</w:t>
      </w:r>
    </w:p>
    <w:p>
      <w:pPr>
        <w:pStyle w:val="Heading2"/>
      </w:pPr>
      <w:r>
        <w:t>Regeste</w:t>
      </w:r>
    </w:p>
    <w:p>
      <w:r>
        <w:t>Nichtigerklärung der erleichterten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Anhangs). Gemäss der Übergangsbestimmung des Art. 50 Abs. 1 BüG richten sich Erwerb und Verlust des Schweizer Bürgerrechts nach dem Recht, das bei Eintritt des massgebenden Tatbestandes in Kraft steht. Da das Verfahren auf Nichtigerklärung der erleichterten Einbürgerung vor der Rechtsänderung eingeleitet wurde, ist die vorliegende Streitsache in materieller Hinsicht nach dem alten Bürgerrechtsgesetz zu beurteilen (vgl. Urteil des BVGer F-2870/2018 vom 15. April 2020 E. 3).</w:t>
      </w:r>
    </w:p>
    <w:p>
      <w:r>
        <w:rPr>
          <w:b/>
        </w:rPr>
        <w:t>E. 2.1</w:t>
      </w:r>
    </w:p>
    <w:p>
      <w:r>
        <w:t>Verfügungen der Vorinstanz betreffend die Nichtigerklärung einer erleichterten Einbürgerung sind mit Beschwerde beim Bundesverwaltungsgericht anfechtbar (Art. 47 Abs. 1 BüG i.V.m. Art. 31 ff. VGG).</w:t>
      </w:r>
    </w:p>
    <w:p>
      <w:r>
        <w:rPr>
          <w:b/>
        </w:rPr>
        <w:t>E. 2.2</w:t>
      </w:r>
    </w:p>
    <w:p>
      <w:r>
        <w:t>Das Rechtsmittelverfahren vor dem Bundesverwaltungsgericht richtet sich nach dem VwVG, soweit das VGG nichts anderes bestimmt (Art. 37 VGG; vgl. auch Art. 2 Abs. 4 VwVG).</w:t>
      </w:r>
    </w:p>
    <w:p>
      <w:r>
        <w:rPr>
          <w:b/>
        </w:rPr>
        <w:t>E. 2.3</w:t>
      </w:r>
    </w:p>
    <w:p>
      <w:r>
        <w:t>Die Beschwerdeführerin ist als Verfügungsadressatin zur Beschwerdeführung legitimiert. Auf ihre frist- und formgerecht eingereichte Beschwerde ist einzutreten (Art. 48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w:t>
      </w:r>
    </w:p>
    <w:p>
      <w:r>
        <w:rPr>
          <w:b/>
        </w:rPr>
        <w:t>E. 4.1</w:t>
      </w:r>
    </w:p>
    <w:p>
      <w:r>
        <w:t>Hinsichtlich der von der Beschwerdeführerin als Beweismassnahme beantragten Parteibefragung ist festzuhalten, dass der Behörde grundsätzlich die Pflicht zukommt, den rechtserheblichen Sachverhalt von Amtes wegen zu ermitteln (Art. 12 VwVG). Die Behörden sind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136 I 229 E. 5.3 m.H.).</w:t>
      </w:r>
    </w:p>
    <w:p>
      <w:r>
        <w:rPr>
          <w:b/>
        </w:rPr>
        <w:t>E. 4.2</w:t>
      </w:r>
    </w:p>
    <w:p>
      <w:r>
        <w:t>Der entscheidrelevante Sachverhalt erschliesst sich, wie nachfolgend zu zeigen sein wird, in hinreichender Weise aus den Akten. Die Beschwerdeführerin erhielt bereits vor Erlass der angefochtenen Verfügung und während des Rechtsmittelverfahrens Gelegenheit, sich zur Angelegenheit schriftlich zu äussern. Es darf daher davon ausgegangen werden, dass eine Parteibefragung ihre Vorbringen bestätigt und nicht zu neuen relevanten Erkenntnisse geführt hätte. Von der beantragten Beweisvorkehr kann deshalb in antizipierter Beweiswürdigung ohne Verletzung des Anspruchs auf rechtliches Gehör abgesehen werden (BGE 141 I 60 E. 3.3 m.H.).</w:t>
      </w:r>
    </w:p>
    <w:p>
      <w:r>
        <w:rPr>
          <w:b/>
        </w:rPr>
        <w:t>E. 5.1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geltender Weise setzt Art. 26 Abs. 1 aBüG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5.2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Mit Art. 27 aBüG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können sich dann ergeben, wenn kurze Zeit nach der erleichterten Einbürgerung die Trennung erfolgt oder die Scheidung eingeleitet wird (BGE 135 II 161 E. 2).</w:t>
      </w:r>
    </w:p>
    <w:p>
      <w:r>
        <w:rPr>
          <w:b/>
        </w:rPr>
        <w:t>E. 6.1</w:t>
      </w:r>
    </w:p>
    <w:p>
      <w:r>
        <w:t>Die erleichterte Einbürgerung kann mit Zustimmung des Heimatkantons nichtig erklärt werden, wenn sie durch falsche Angaben oder Verheimlichung erheblicher Tatsachen erschlichen (Art. 41 Abs. 1 aBüG), d.h. mit einem unlauteren und täuschenden Verhalten erwirkt wurde. Arglist im Sinne des strafrechtlichen Begriffs ist nicht erforderlich. Es genügt, wenn die betroffene Person bewusst falsche Angaben macht beziehungsweise die mit dem Einbürgerungsbegehren befasste Behörde bewusst in einem falschen Glauben lässt und so den Vorwurf auf sich zieht, es unterlassen zu haben, über eine erhebliche Tatsache zu informieren (vgl. BGE 140 II 65 E. 2.2 m.H.). Weiss die betroffene Person, dass die Voraussetzungen für die erleichterte Einbürgerung auch im Zeitpunkt der Verfügung vorliegen müssen, so hat sie die Behörde unaufgefordert über eine nachträgliche Änderung der einer Einbürgerung mutmasslich entgegenstehenden Verhältnisse zu orientieren (BGE 132 II 113 E. 3.2). Die Pflicht dazu ergibt sich aus dem Grundsatz von Treu und Glauben und aus der verfahrensrechtlichen Mitwirkungspflicht nach Art. 13 Abs. 1 Bst. a VwVG. Die Behörde ihrerseits darf sich darauf verlassen, dass die vormals erteilten Auskünfte bei passivem Verhalten der gesuchstellenden Person nach wie vor zutreffen (vgl. BGE 140 II 65 E. 2.2 m.H.).</w:t>
      </w:r>
    </w:p>
    <w:p>
      <w:r>
        <w:rPr>
          <w:b/>
        </w:rPr>
        <w:t>E. 6.2</w:t>
      </w:r>
    </w:p>
    <w:p>
      <w:r>
        <w:t>Die Möglichkeit der Nichtigerklärung geht durch Zeitablauf unter. Nach Art. 41 Abs. 1bis aBüG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w:t>
      </w:r>
    </w:p>
    <w:p>
      <w:r>
        <w:rPr>
          <w:b/>
        </w:rPr>
        <w:t>E. 6.3</w:t>
      </w:r>
    </w:p>
    <w:p>
      <w:r>
        <w:t>Vorliegend sind die Fristen von Art. 41 aBüG eingehalten. Auch die Zustimmung des zuständigen Heimatkantons liegt vor. Die formellen Voraussetzungen für die Nichtigerklärung der erleichterten Einbürgerung sind somit erfüllt.</w:t>
      </w:r>
    </w:p>
    <w:p>
      <w:r>
        <w:rPr>
          <w:b/>
        </w:rPr>
        <w:t>E. 7.1</w:t>
      </w:r>
    </w:p>
    <w:p>
      <w:r>
        <w:t>Gemäss Art. 12 VwVG obliegt es grundsätzlich den Behörden, den Sachverhalt von Amtes wegen festzustellen.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Solche sogenannten natürlichen beziehungsweise tatsächlichen Vermutungen stellen eine besondere Form des Indizienbeweises dar und können sich in allen Bereichen der Rechtsanwendung ergeben, namentlich auch im öffentlichen Recht. Dabei handelt es sich um Wahrscheinlichkeitsfolgerungen, die aufgrund der Lebenserfahrung gezogen werden. Die betroffene Person ist bei der Sachverhaltsabklärung mitwirkungspflichtig (vgl. BGE 140 II 65 E. 2.2, BGE 135 II 161 E. 3).</w:t>
      </w:r>
    </w:p>
    <w:p>
      <w:r>
        <w:rPr>
          <w:b/>
        </w:rPr>
        <w:t>E. 7.2</w:t>
      </w:r>
    </w:p>
    <w:p>
      <w:r>
        <w:t>Die natürliche Vermutung gehört zur freien Beweiswürdigung (vgl. Art. 19 VwVG i.V.m. Art. 40 des Bundesgesetzes vom 4. Dezember 1947 über den Bundeszivilprozess [BZP, SR 273]). Sie stellt eine Beweisführungserleichterung dar, indem eine bereits vorhandene, aber nicht mit letzter Schlüssigkeit mögliche Beweisführung unterstützt wird. Wenn daher bestimmte Tatsachen - beispielsweise die Chronologie der Ereignisse - die natürliche Vermutung begründen, dass die erleichterte Einbürgerung erschlichen wurde, kann die betroffene Person diese Vermutung durch Gegenbeweis entkräften (vgl. Franz Hasenböhler, Das Beweisrecht der ZPO, Band 1, 2015, S. 193 Rz. 5.58). Es genügt zum Beweis, wenn sie einen Grund anführt, der es dem Gericht plausibel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der ehelichen Probleme nicht erkannte und den wirklichen Willen hatte, mit dem Schweizer Ehepartner auch weiterhin in einer stabilen ehelichen Gemeinschaft zu leben (BGE 135 II 161 E. 3).</w:t>
      </w:r>
    </w:p>
    <w:p>
      <w:r>
        <w:rPr>
          <w:b/>
        </w:rPr>
        <w:t>E. 8.1</w:t>
      </w:r>
    </w:p>
    <w:p>
      <w:r>
        <w:t>Die Vorinstanz führt zur Begründung der Nichtigerklärung der erleichterten Einbürgerung aus, die kurzen zeitlichen Abfolgen zwischen der Ehe, der erleichterten Einbürgerung und der nachfolgenden Trennung beziehungsweise der rechtskräftigen Scheidung liessen vermuten, dass bereits im Zeitpunkt der erleichterten Einbürgerung keine stabile und auf die Zukunft gerichtete eheliche Verbindung vorgelegen habe. Der geschilderte heftige Streit, der zum sofortigen Auszug der Ehegattin aus dem gemeinsamen Haushalt geführt habe, könne nicht als plötzliches und unerwartetes Ereignis gesehen werden, das erst nach der Einbürgerung eingetreten sei und zur umgehenden Eheauflösung geführt habe. Vielmehr müsse die Entfremdung früher eingesetzt haben. Die Beschwerdeführerin räume selber ein, im Laufe der Beziehung sei es vermehrt zu kleineren Auseinandersetzungen gekommen und der besagte Streit habe sich aufgrund vorbestehender Begebenheiten ergeben. Demnach habe der Zerrüttungsprozess nicht im Frühling und Sommer 2016 begonnen, sondern sei dann vielmehr abgeschlossen worden. Dafür spreche auch die fortwährende Differenz zwischen den Ehegatten hinsichtlich der Kinderfrage. In einer Gesamtwürdigung sei davon auszugehen, dass die Beschwerdeführerin die erleichterte Einbürgerung erschlichen habe und die Voraussetzungen für eine Nichtigerklärung erfüllt seien. Der Altersunterschied der Ehegatten von mehr als 20 Jahren, die Kinderlosigkeit, die Aufenthaltsdauer der Beschwerdeführerin von weniger als zwölf Jahren in der Schweiz und die fehlende Aufenthaltsbewilligung zum Zeitpunkt der Heirat seien weitere Gründe, um eine Nichtigerklärung auszusprechen.</w:t>
      </w:r>
    </w:p>
    <w:p>
      <w:r>
        <w:rPr>
          <w:b/>
        </w:rPr>
        <w:t>E. 8.2</w:t>
      </w:r>
    </w:p>
    <w:p>
      <w:r>
        <w:t>Die Beschwerdeführerin macht in ihrer Beschwerde geltend, das Eheleben sei stets harmonisch und zukunftsorientiert gewesen. Hin und wieder habe es zwar Unstimmigkeiten gegeben, ausgelöst durch den übermässig ausgeprägten Sauberkeits- und Ordnungssinn ihres Ex-Ehemannes. Diese hätten sich gegen Ende der ehelichen Gemeinschaft verschlimmert. Die Ehegatten seien aber stets bemüht gewesen, die Probleme in gemeinsamen Gesprächen oder unter Beanspruchung externer Hilfe und medikamentöser Behandlung zu lösen. Dass es in fünf Jahren Ehe zu kleineren Schwierigkeiten kommen könne, sei nicht aussergewöhnlich. Im Übrigen würden auch Aussenstehende die Stabilität der Ehe bestätigen. Als ausschlaggebenden Grund für die Trennung führt die Beschwerdeführerin den Streit am Abend des 30. Juli 2016 an. An jenem Abend habe sie beabsichtigt, an einem Personalfest teilzunehmen und anschliessend bei ihrer Tante zu übernachten. Ihr Ex-Ehemann sei hiermit nicht einverstanden gewesen und habe ihr unterstellt, sie wolle ihn betrügen, worauf ein heftiger Streit entbrannt sei. Im Rahmen der Auseinandersetzung habe er sie ins Gesicht geschlagen. Aus Angst vor erneuten Übergriffen sei sie aus der gemeinsamen Wohnung geflüchtet. Ein weiteres Zusammenleben sei nicht zumutbar gewesen. Bis zu diesem Zeitpunkt habe sie jedoch stets den ernsthaften Willen gehabt, die Ehe weiterzuführen. Das ausserordentliche Ereignis beziehungsweise die häusliche Gewalt fänden in der angefochtenen Verfügung kaum Beachtung, stattdessen stütze sich die Vorinstanz massgeblich auf die unbelegten und unglaubwürdigen Aussagen des Ex-Ehemannes.</w:t>
      </w:r>
    </w:p>
    <w:p>
      <w:r>
        <w:rPr>
          <w:b/>
        </w:rPr>
        <w:t>E. 8.3</w:t>
      </w:r>
    </w:p>
    <w:p>
      <w:r>
        <w:t>Im Rahmen der Vernehmlassung hält die Vorinstanz fest, selbst die Beschwerdeführerin umschreibe und anerkenne eheliche Schwierigkeiten vor ihrer Einbürgerung. Somit sei bereits im Zeitpunkt der Einbürgerung kein gemeinsamer Wille für eine stabile und zukunftsgerichtete Ehe mehr vorhanden gewesen. Übliche Meinungsverschiedenheiten müssten erfahrungsgemäss nicht in einem Seminar aufgearbeitet werden, wie dies beispielsweise im November 2015 geschehen sei. Auch wenn die Ausführungen des Ex-Ehemannes womöglich überzeichnet seien, würden sie dennoch ein gutes Bild der ehelichen Verhältnisse vermitteln. Abschliessend führt die Vorinstanz an, das von Aussenstehenden wahrgenommene Erscheinungsbild einer Ehe entspreche erfahrungsgemäss nicht immer der Realität.</w:t>
      </w:r>
    </w:p>
    <w:p>
      <w:r>
        <w:rPr>
          <w:b/>
        </w:rPr>
        <w:t>E. 8.4</w:t>
      </w:r>
    </w:p>
    <w:p>
      <w:r>
        <w:t>Replizierend bringt die Beschwerdeführerin vor, eine Fortsetzung der Ehe sei erst durch die Geschehnisse Ende Juli unzumutbar geworden. Bis zum entscheidenden Vorfall hätten die Ehegatten in einer tatsächlichen Lebensgemeinschaft gelebt. Entgegen der Auffassung der Vorinstanz würden ihre Bemühungen zur Verbesserung der ehelichen Gemeinschaft vielmehr beweisen, dass beide Ehegatten gewillt gewesen seien, an der Beziehung zu arbeiten.</w:t>
      </w:r>
    </w:p>
    <w:p>
      <w:r>
        <w:rPr>
          <w:b/>
        </w:rPr>
        <w:t>E. 9</w:t>
      </w:r>
    </w:p>
    <w:p>
      <w:r>
        <w:t>Die Chronologie der Ereignisse, namentlich die kurze Zeit zwischen der gemeinsamen Erklärung zum Zustand der ehelichen Gemeinschaft und der erleichterten Einbürgerung einerseits und der Trennung knapp fünf Monate beziehungsweise der Scheidung elf Monate später andererseits, begründet nach bundesgerichtlicher Rechtsprechung ohne weiteres die natürliche Vermutung, dass die Ehe zum Zeitpunkt der gemeinsamen Erklärung beziehungsweise der erleichterten Einbürgerung in Wahrheit nicht intakt war und die Einbürgerungsbehörde über diesen Umstand aktiv oder passiv getäuscht wurde (vgl. dazu Urteil des BGer 1C_466/2018 vom 15. Januar 2019 E. 5.3 m.H.). Das Scheitern einer intakten und auf die Zukunft ausgerichteten Ehe stellt einen Prozess dar, der - besondere Umstände vorbehalten - regelmässig wesentlich längere Zeit in Anspruch nimmt. Das Vorbringen der Beschwerdeführerin, wonach der Vorfall Ende Juli 2016 ein ausserordentliches, nach der erleichterten Einbürgerung eingetretenes Ereignis darstelle, vermag diese natürliche Vermutung nicht zu widerlegen. Der mit diesem Konflikt einhergehende Streit mag heftig gewesen sein; dass er als plötzliches und unerwartetes Ereignis das Ende der Ehe bedeutete, ist allerdings nicht nachvollziehbar. Vielmehr ist aufgrund der Schilderungen der Ehegatten davon auszugehen, dass die Ehe seit längerem belastet war. Im vorinstanzlichen Verfahren führten sie übereinstimmend aus, im Laufe der Ehe sei es «vermehrt» sowie «stetig wachsend» zu Auseinandersetzungen gekommen, welche sich «massiv zugespitzt» und Wochen vor der Trennung weiter verschlimmert hätten. Die Beschwerdeführerin habe die eheliche Wohnung am 31. Juli 2016 verlassen, da sie die belastende Situation «nicht mehr länger ertragen» konnte. Ihr Ex-Ehemann habe sie zur Haushälterin degradiert und auch entsprechend behandelt (vgl. Akten der Vorinstanz [SEM act.] 17/74 und 21/92). Diese Erläuterungen gegenüber der Vorinstanz zeugen von einem länger dauernden Zerrüttungsprozess. Dies wird im Übrigen durch die Umstände gestützt, dass die Beschwerdeführerin bereits im Juni 2015 von ihrem Ex-Ehemann tätlich angegriffen wurde und sie im November 2015, namentlich ein halbes Jahr vor der erleichterten Einbürgerung, gemeinsam ein Seminar besuchten, um «an ihrer Ehe zu arbeiten» (SEM act. 19/88; Akten des Bundesverwaltungsgerichts [BVGer act.] 1). Die von ihr und ihrem Ex-Ehemann geschilderten Probleme bestreitet die Beschwerdeführerin auch in der Beschwerde nicht. Sie versucht diese allerdings dadurch zu relativieren, indem sie sie als «kleinere Schwierigkeiten», welche nach fünf Jahren Ehe nicht weiter erstaunlich seien, bezeichnet. Ihre Behauptung, eine derartige Entwicklung in einer Ehe sei nicht ausserordentlich und Meinungsverschiedenheiten liessen erst dann an der Stabilität einer Ehe zweifeln, wenn die Ehegatten nicht mehr bereit wären, die Situation gemeinsam zu verbessern, ist als nachgeschobene Schutzbehauptung zu werten. Aufgrund der vorliegenden Chronologie ist von einem fortgeschrittenen Entfremdungsprozess bereits zum Zeitpunkt der erleichterten Einbürgerung auszugehen, weshalb nicht mehr auf eine intakte und stabile eheliche Gemeinschaft geschlossen werden kann. Die Unterstützungsschreiben (vgl. BVGer act. 1, Beilagen 9-11) führen zu keinem anderen Ergebnis. Das Vorliegen einer intakten, auf die Zukunft gerichteten Ehe kann damit nicht bewiesen werden, denn diesbezügliche Äusserungen beschränken sich naturgemäss auf die Wahrnehmung eines äusseren Erscheinungsbildes. Den Eheleuten nahestehende Personen würden zudem kaum zu deren Ungunsten aussagen. Für die Beurteilung der hier wesentlichen Frage, ob die Ehe im fraglichen Zeitpunkt stabil war, erweisen sich solche Bestätigungen deshalb regelmässig als nicht besonders aufschlussreich (vgl. Urteil des BVGer C-5043/2010 vom 15. Februar 2013 E. 9.4 m.H.). Die rasche Heirat nach erst kurzer Bekanntschaft, die grösstenteils auf einer Fernbeziehung beruhte, sowie die Tatsache, dass die Beschwerdeführerin nur durch die Heirat eine Aufenthaltsbewilligung für die Schweiz erhalten konnte, stützen die natürliche Vermutung, dass die Beschwerdeführerin die erleichterte Einbürgerung durch falsche Angaben oder durch Verschweigen wesentlicher Tatsachen erschlichen hat. Weiter ist der Altersunterschied zwischen den Ehegatten von rund 21 Jahren zu berücksichtigen. Zwischen der Trennung und der Einleitung des Scheidungsverfahrens liegen sodann lediglich vier Monate. Konkrete Schritte zur Rettung der Ehe (z.B. Eheberatung, etc.) nach dem Vorfall Ende Juli 2016 sind nicht aktenkundig. Aus dem eingereichten kurzen Chatverlauf vom 23. August 2016 bis 1. September 2016 (BVGer act. 1, Beilage 13), welcher angeblich die Konversation mit einer Mediatorin abbildet, kann die Beschwerdeführerin nichts zu ihren Gunsten ableiten. Dessen Inhalt vermag keine Bemühungen ihrerseits zu belegen.</w:t>
      </w:r>
    </w:p>
    <w:p>
      <w:r>
        <w:rPr>
          <w:b/>
        </w:rPr>
        <w:t>E. 10</w:t>
      </w:r>
    </w:p>
    <w:p>
      <w:r>
        <w:t>Zusammenfassend ist es der Beschwerdeführerin nicht gelungen, die natürliche Vermutung zu widerlegen. Indem die Beschwerdeführerin in der gemeinsamen Erklärung den Bestand einer intakten und stabilen Ehe versicherte, hat sie die mit der Einbürgerung befasste Behörde über eine wesentliche Tatsache getäuscht und die erleichterte Einbürgerung im Sinne von Art. 41 Abs. 1 aBüG erschlichen. Die Voraussetzungen für die Nichtigerklärung der erleichterten Einbürgerung sind somit erfüllt. Die angefochtene Verfügung verletzt kein Bundesrecht (Art. 49 Bst. a VwVG). Die Beschwerde ist demnach abzuweisen.</w:t>
      </w:r>
    </w:p>
    <w:p>
      <w:r>
        <w:rPr>
          <w:b/>
        </w:rPr>
        <w:t>E. 11</w:t>
      </w:r>
    </w:p>
    <w:p>
      <w:r>
        <w:t>Bei diesem Ausgang des Verfahrens sind die Kosten der Beschwerdeführerin aufzuerlegen und auf Fr. 1'200.- festzusetzen (vgl. Art. 63 Abs. 1 VwVG i.V.m. Art. 1 ff. des Reglements vom 21. Februar 2008 über die Kosten und Entschädigungen vor dem Bundesverwaltungsgericht [VGKE, SR 173.320.2]). Sie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