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F-2260/2016 vom 5. Oktober 2016</w:t>
      </w:r>
    </w:p>
    <w:p>
      <w:r>
        <w:t>Bundesverwaltungsgericht, 2016-10-05, IT</w:t>
      </w:r>
    </w:p>
    <w:p>
      <w:r>
        <w:rPr>
          <w:b/>
        </w:rPr>
        <w:t xml:space="preserve">Quelle: </w:t>
      </w:r>
      <w:r>
        <w:t>https://mcp.opencaselaw.ch/entscheid/bvger_F-2260_2016</w:t>
      </w:r>
    </w:p>
    <w:p>
      <w:r>
        <w:t>FR: TAF F-2260/2016 du 5 octobre 2016</w:t>
      </w:r>
    </w:p>
    <w:p>
      <w:r>
        <w:t>IT: TAF F-2260/2016 del 5 ottobre 2016</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avendo partecipato alla procedura dinanzi all'autorità inferiore (cfr. lett. C supra), essendo toccato dalla decisione impugnata e vantando un interesse degno di protezione all'annullamento della stessa.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La legislazione svizzera sugli stranieri non garantisce né il diritto d'entrata in Svizzera né quello al rilascio di un visto. La Confederazione elvetica, come tutti gli altri Stati non è tenuta ad autorizzare di principio l'entrata di stranieri sul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4.2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4.4</w:t>
      </w:r>
    </w:p>
    <w:p>
      <w:r>
        <w:t>Se le condizioni di rilascio di un visto uniforme per lo spazio Schengen non sono adempiute uno Stato membro può, a titolo eccezionale, rilasciare un visto di validità territoriale limitata per motivi umanitari o di interesse nazionale oppure in virtù di obblighi internazionali (art. 2 cpv. 4 e art. 12 cpv. 4 OEV, art. 25 par. 1 lett. a Codice dei visti e art. 6 par. 5 lett. c Codice frontiere Schengen).</w:t>
      </w:r>
    </w:p>
    <w:p>
      <w:r>
        <w:rPr>
          <w:b/>
        </w:rPr>
        <w:t>E. 4.5</w:t>
      </w:r>
    </w:p>
    <w:p>
      <w:r>
        <w:t>Con la modifica urgente della LAsi (RS 142.31) del 28 settembre 2012, il Parlamento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In virtù dell'art. 2 cpv. 4 OEV, entrato in vigore il 1° ottobre 2012, e conformemente alla normativa Schengen, la SEM può, in determinati casi, accordare un visto d'entrata in Svizzera per motivi umanitari, derogando alle condizioni generali previste dalla normativa Schengen concernenti il rilascio dei visti. La persona che entra in Svizzera in virtù di un visto umanitario deve depositare una domanda di asilo in Svizzera. Se ciò non avviene, essa dovrà lasciare la Svizzera dopo un soggiorno di tre mesi.</w:t>
      </w:r>
    </w:p>
    <w:p>
      <w:r>
        <w:rPr>
          <w:b/>
        </w:rPr>
        <w:t>E. 4.6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4.7</w:t>
      </w:r>
    </w:p>
    <w:p>
      <w:r>
        <w:t>Le condizioni d'entrata nel quadro della procedura di rilascio del visto sono pertanto più restrittive di quelle vigenti nel quadro delle domande di asilo dall'estero (cfr. Messaggio del Consiglio federale del 26 maggio 2010 concernente la modifica della legge sull'asilo, FF 2010 3889, pagg. 3923- 3924; Istruzione della SEM del 25 febbraio 2014 relativa alle domande di visto per motivi umanitari [di seguito: Istruzione visto umanitario]; sentenza del TAF D-4107/2014 del 24 agosto 2015 consid. 3.6 in fine ed i riferimenti ivi citati).</w:t>
      </w:r>
    </w:p>
    <w:p>
      <w:r>
        <w:rPr>
          <w:b/>
        </w:rPr>
        <w:t>E. 5.1</w:t>
      </w:r>
    </w:p>
    <w:p>
      <w:r>
        <w:t>Il ricorrente è cittadino dello Sri Lanka, di conseguenza al fine di potere entrare in Svizzera egli necessita dell'ottenimento di un visto (cfr. art. 4 OEV; nonché il regolamento [CE] n. 539/2001 del Consiglio del 15 marzo 2001 [GU L 81 del 21 marzo 2001, pagg. 1-7]).</w:t>
      </w:r>
    </w:p>
    <w:p>
      <w:r>
        <w:rPr>
          <w:b/>
        </w:rPr>
        <w:t>E. 5.2</w:t>
      </w:r>
    </w:p>
    <w:p>
      <w:r>
        <w:t>Nella fattispecie, come del resto non risulta contestato nel ricorso (cfr. atto ricorsuale dell'11 aprile 2016, pag. 2) e come rettamente ritenuto dall'autorità inferiore nella decisione impugnata alle quali si rinvia, un visto Schengen di tipo C non può essere concesso in quanto le condizioni per il rilascio non sono adempiute. In particolare, tenuto conto della situazione economica dello Sri Lanka, nonché delle condizioni personali in cui versa il richiedente, egli non ha fornito garanzie che lascerà la Svizzera al momento della scadenza del visto.</w:t>
      </w:r>
    </w:p>
    <w:p>
      <w:r>
        <w:rPr>
          <w:b/>
        </w:rPr>
        <w:t>E. 6.1</w:t>
      </w:r>
    </w:p>
    <w:p>
      <w:r>
        <w:t>Non essendo adempiute le condizioni per il rilascio di un visto Schengen di tipo C, di seguito verrà analizzato se sono dati i presupposti per la concessione di un VTL ai sensi dell'art. 2 cpv. 4 OEV e sulla base dell'Istruzione visto umanitario.</w:t>
      </w:r>
    </w:p>
    <w:p>
      <w:r>
        <w:rPr>
          <w:b/>
        </w:rPr>
        <w:t>E. 6.2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6.3</w:t>
      </w:r>
    </w:p>
    <w:p>
      <w:r>
        <w:t>Lo scrivente Tribunale ritiene per i motivi che seguono che, come rettamente rilevato dall'autorità inferiore nel provvedimento querelato, l'interessato non si trova in una situazione di particolare emergenza che rende indispensabile l'intervento delle autorità.</w:t>
      </w:r>
    </w:p>
    <w:p>
      <w:r>
        <w:rPr>
          <w:b/>
        </w:rPr>
        <w:t>E. 6.4</w:t>
      </w:r>
    </w:p>
    <w:p>
      <w:r>
        <w:t>Va innanzitutto rilevato che quand'anche il ricorrente abbia fornito elementi a sostegno delle sue precarie condizioni di salute, essendo egli sordomuto, e della difficile situazione personale dovuta in particolare alla partenza della madre - la quale secondo A._______ sarebbe l'unica persona in grado di prendersi cura di lui - l'interessato non si trova in una situazione differente da quella dei propri connazionali nelle medesime condizioni. Sebbene sia indubbio che il sistema sanitario dello Sri Lanka non presenti le stesse caratteristiche di quello elvetico per quanto concerne la presa a carico delle persone portatrici di handicap e gravemente malate, e malgrado sia verosimile che l'anziana nonna non sia in grado di prendersi cura del nipote in maniera sufficiente, ciò non può indurre il Tribunale a considerare che A._______ corra un rischio diretto, serio e concreto per la propria integrità fisica. Occorre peraltro rilevare che il ricorrente non ha allegato l'esistenza di minacce o pericoli per la propria persona, inoltre non risulta che egli sia oggetto di persecuzioni. Come si è visto A._______ si è richiamato unicamente alle precarie condizioni di salute ed al conseguente bisogno di assistenza da parte della madre, tuttavia questi elementi non possono giustificare la concessione di un VTL per motivi umanitari.</w:t>
      </w:r>
    </w:p>
    <w:p>
      <w:r>
        <w:rPr>
          <w:b/>
        </w:rPr>
        <w:t>E. 7</w:t>
      </w:r>
    </w:p>
    <w:p>
      <w:r>
        <w:t>Pertanto, visto quanto precede, l'autorità inferiore ha rettamente ritenuto che l'interessato non si trova in una situazione di pericolo concreta giustificante il rilascio di un visto per motivi umanitari, il ricorso non merita tutela e la decisione impugnata deve essere confermata.</w:t>
      </w:r>
    </w:p>
    <w:p>
      <w:r>
        <w:rPr>
          <w:b/>
        </w:rPr>
        <w:t>E. 8</w:t>
      </w:r>
    </w:p>
    <w:p>
      <w:r>
        <w:t>Visto l'esito della procedura, le spese processuali di fr. 700.-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9</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