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F-2243/2025 vom 24. November 2025</w:t>
      </w:r>
    </w:p>
    <w:p>
      <w:r>
        <w:t>Bundesverwaltungsgericht, 2025-11-24, DE</w:t>
      </w:r>
    </w:p>
    <w:p>
      <w:r>
        <w:rPr>
          <w:b/>
        </w:rPr>
        <w:t xml:space="preserve">Quelle: </w:t>
      </w:r>
      <w:r>
        <w:t>https://mcp.opencaselaw.ch/entscheid/bvger_F-2243_2025</w:t>
      </w:r>
    </w:p>
    <w:p>
      <w:r>
        <w:t>FR: TAF F-2243/2025 du 24 novembre 2025</w:t>
      </w:r>
    </w:p>
    <w:p>
      <w:r>
        <w:t>IT: TAF F-2243/2025 del 24 novembre 2025</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Gesuchstellenden durch den an- gefochtenen Entscheid besonders berührt. Die vom Bundesverwaltungs- gericht mit Urteil F-2397/2024 vom 11. April 2025 E. 2 (zur Publikation vor- gesehen) vorgenommene Praxisänderung, mit der die Erhebung von Dritt- beschwerden pro Adressat ohne dessen schriftliches Einverständnis (durch Unterzeichnung der Beschwerdeschrift) bei Schengen-Visa nun- mehr als unzulässig erachtet wurde, ist nicht anwendbar, da die Be- schwerde vor dem Urteilszeitpunkt erhoben wurde. Obwohl der ursprüng- lich angestrebte Besuchszeitraum (1. Juni 2025 bis 30. Juni 2025) inzwi- schen abgelaufen ist, kann auf ein fortbestehendes Rechtsschutzinteresse geschlossen werden. So teilte der Beschwerdeführer mit Eingabe vom 17. Juni 2025 insbesondere mit, der neue Besuchszeitraum sei nun neu vom 20. Dezember 2025 bis zum 4. Januar 2026 geplant. Der Beschwer- deführer ist daher zur Erhebung des Rechtsmittels legitimiert (Art. 48 Abs. 1 VwVG). Auf die im Übrigen frist- und formgerecht eingereichte Be- schwerde ist einzutreten (Art. 50 Abs. 1 und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w:t>
      </w:r>
    </w:p>
    <w:p>
      <w:r>
        <w:rPr>
          <w:b/>
        </w:rPr>
        <w:t>E. 2.2</w:t>
      </w:r>
    </w:p>
    <w:p>
      <w:r>
        <w:t>Das Bundesverwaltungsgericht wendet im Beschwerdeverfahren das Bundesrecht von Amtes wegen an. Es ist gemäss Art. 62 Abs. 4 VwVG</w:t>
      </w:r>
    </w:p>
    <w:p>
      <w:r>
        <w:t>F-2243/2025 Seite 4 nicht an die Begründung der Begehren gebunden und kann die Be- schwerde auch aus anderen als den geltend gemachten Gründen gutheis- sen oder abweisen.</w:t>
      </w:r>
    </w:p>
    <w:p>
      <w:r>
        <w:rPr>
          <w:b/>
        </w:rPr>
        <w:t>E. 2.3</w:t>
      </w:r>
    </w:p>
    <w:p>
      <w:r>
        <w:t>Massgeblich ist grundsätzlich die Sachlage zum Zeitpunkt seines Ent- scheids (vgl. BVGE 2020 VII/4 E. 2.2; 2014/1 E. 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 raum (Tatbestandsermessen).</w:t>
      </w:r>
    </w:p>
    <w:p>
      <w:r>
        <w:rPr>
          <w:b/>
        </w:rPr>
        <w:t>E. 3.2</w:t>
      </w:r>
    </w:p>
    <w:p>
      <w:r>
        <w:t>Ob Drittstaatsangehörige für die Einreise in den Schengen-Raum für einen Aufenthalt von bis zu 90 Tagen je Zeitraum von 180 Tagen der Vi- sumspflicht unterstehen, ist abhängig von ihrer Staatsangehörigkeit (vgl.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[ABl. L 303/39 vom 28.11.2018]). Aufgrund ihrer pakistanischen Staatsangehörigkeit unterliegen die Ge- suchstellenden der Visumspflicht.</w:t>
      </w:r>
    </w:p>
    <w:p>
      <w:r>
        <w:rPr>
          <w:b/>
        </w:rPr>
        <w:t>E. 3.3</w:t>
      </w:r>
    </w:p>
    <w:p>
      <w:r>
        <w:t>Für die Ausstellung eines Schengen-Visums müssen Gesuchstellende folgende Voraussetzungen erfüllen:</w:t>
      </w:r>
    </w:p>
    <w:p>
      <w:r>
        <w:rPr>
          <w:b/>
        </w:rPr>
        <w:t>E. 3.3.1</w:t>
      </w:r>
    </w:p>
    <w:p>
      <w:r>
        <w:t>Sie müssen den Zweck und die Umstände ihres beabsichtigten Auf- enthalts belegen können (vgl. Art. 6 Abs. 1 Bst. c der Verordnung [EG] Nr. 2016/399 des Europäischen Parlaments und des Rates vom 9. März</w:t>
      </w:r>
    </w:p>
    <w:p>
      <w:r>
        <w:t>F-2243/2025 Seite 5 2016 über einen Gemeinschaftskodex für das Überschreiten der Grenzen durch Personen [nachfolgend: Schengener Grenzkodex, SGK, ABl. L 77/1 vom 23.03.2016]).</w:t>
      </w:r>
    </w:p>
    <w:p>
      <w:r>
        <w:rPr>
          <w:b/>
        </w:rPr>
        <w:t>E. 3.3.2</w:t>
      </w:r>
    </w:p>
    <w:p>
      <w:r>
        <w:t>Sie müssen Gewähr für eine fristgerechte Wiederausreise bieten. Gemäss Art. 21 Abs. 1 der Verordnung (EG) Nr. 810/2009 des Europäi- schen Parlaments und des Rates vom 13. Juli 2009 über einen Visakodex der Gemeinschaft (nachfolgend: Visakodex, VK, Abl. L 243 vom 15.9.2009) ist dabei zu beurteilen, ob beim Antragssteller das Risiko der rechtswidri- gen Einwanderung besteht und ob er beabsichtigt, vor Ablauf der Gültig- 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 steller vorgelegten Belege oder am Wahrheitsgehalt ihres Inhalts, an der Glaubwürdigkeit seiner Aussagen oder der von ihm bekundeten Absicht bestehen, das Hoheitsgebiet der Mitgliedstaaten vor Ablauf der Gültigkeit des beantragten Visums zu verlassen (Art. 32 Abs. 1 Bst. b VK).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 liäre Verpflichtungen (vgl. Urteile des BVGer F-2075/2020 vom 26. Oktober 2020 E. 6.4.2; F-190/2017 vom 9. Oktober 2018 E. 8.2.) kann die Prognose für eine anstandslose Wiederausreise begünstigt werden. Sodann ist er- fahrungsgemäss das Risiko dort erhöht, wo durch die Anwesenheit von Verwandten oder Freunden in der Schweiz bereits ein soziales Bezie- hungsnetz besteht (BVGE 2014/1 E. 6.2.2).</w:t>
      </w:r>
    </w:p>
    <w:p>
      <w:r>
        <w:rPr>
          <w:b/>
        </w:rPr>
        <w:t>E. 3.3.3</w:t>
      </w:r>
    </w:p>
    <w:p>
      <w:r>
        <w:t>Sie müssen über ausreichende finanzielle Mittel für den Aufenthalt und die Rückreise verfügen (Art. 21 Abs. 1 VK i.V.m. Art. 6 Abs. 1 Bst. c SGK; Art. 21 Abs. 5 VK). Mit dieser Voraussetzung soll verhindert werden,</w:t>
      </w:r>
    </w:p>
    <w:p>
      <w:r>
        <w:t>F-2243/2025 Seite 6 dass Ausländerinnen und Ausländer während ihres Aufenthalts in der Schweiz von der Sozialhilfe unterstützt werden müssen (vgl. Art. 3 Abs. 2 der Verordnung vom 15. August 2018 über die Einreise und die Visumer- teilung [VEV, SR 142.204]). Die Feststellung ausreichender Mittel zur Be- 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 staatsangehörigen bei einem Gastgeber – Bürgschaften von Gastgebern im Sinne des nationalen Rechts Nachweise für das Vorhandensein ausrei- 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 bracht werden mit Bargeld (Bst. a), Bankguthaben (Bst. b), einer Verpflich- tungserklärung (Bst. c) oder einer anderen Sicherheit (Bst. d). Die Modali- täten der Verpflichtungserklärung sind in Art. 14 ff. VEV geregelt. Eine sol- che Erklärung umfasst gemäss Art. 15 Abs. 1 VEV ungedeckte Kosten für den Lebensunterhalt, einschliesslich Unfall und Krankheit, sowie für die Rückreise, die dem Gemeinwesen oder einem privaten Erbringer von me- dizinischen Dienstleistungen durch den Aufenthalt der Ausländerin oder des Ausländers im Schengen-Raum entstehen. Die Verpflichtungserklä- rung ist unwiderruflich (Art. 15 Abs. 2 VEV). In der Schweiz beträgt die Ga- rantiesumme für Einzelpersonen sowie für gemeinsam reisende Gruppen und Familien bis höchstens zehn Personen Fr. 30'000.– (Art. 15 Abs. 5 VEV). Die zuständige kantonale oder kommunale Behörde kontrolliert die Verpflichtungserklärung (Art. 16 Abs. 1 VEV). Mit Zustimmung der zustän- digen Bewilligungsbehörden können Ausländerinnen und Ausländer den Nachweis ausreichender Mittel zur Bestreitung des Lebensunterhalts mit einer Bankgarantie einer schweizerischen Bank oder mit anderen ver- gleichbaren Sicherheiten erbringen (Art. 18 VEV).</w:t>
      </w:r>
    </w:p>
    <w:p>
      <w:r>
        <w:rPr>
          <w:b/>
        </w:rPr>
        <w:t>E. 3.3.4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3.3.5</w:t>
      </w:r>
    </w:p>
    <w:p>
      <w:r>
        <w:t>Sie müssen im Besitz gültiger Reisedokumente sein, die zum Grenz- übertritt berechtigen (Art. 21 Abs. 1 VK i.V.m. Art. 6 Abs. 1 Bst. a SGK; Art. 12 VK; Art. 5 Abs. 1 Bst. a AIG).</w:t>
      </w:r>
    </w:p>
    <w:p>
      <w:r>
        <w:t>F-2243/2025 Seite 7</w:t>
      </w:r>
    </w:p>
    <w:p>
      <w:r>
        <w:rPr>
          <w:b/>
        </w:rPr>
        <w:t>E. 3.3.6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verweigerte die Erteilung der Schengen-Visa in der an- gefochtenen Verfügung mit der Begründung, es bestehe keine Gewähr für eine fristgerechte Wiederausreise aus dem Schengen-Raum. Die Gesuch- stellenden stammten aus einer Region, in der angesichts der wirtschaftli- chen und politischen Verhältnisse ein hoher Auswanderungsdruck be- stehe. Wie die Erfahrung gezeigt habe, würden viele Personen besonders auch im europäischen Ausland versuchen, sich eine vermeintlich bessere Zukunft aufzubauen. Die Gesuchstellerin 1 sei verwitwet und nicht er- werbstätig. Die Gesuchstellerin 2 sei ledig und arbeite in einem festen Ar- beitsverhältnis bei einer Bank. Der Gesuchsteller 3 sei ebenfalls unverhei- ratet und befinde sich noch im Studium. Mangels anderer Belege und Um- stände sei daher davon auszugehen, dass die Gesuchstellenden keinerlei besonderen familiären, gesellschaftlichen oder beruflichen Verpflichtungen obliegen würden, welche das Risiko einer nicht anstandslosen Wiederaus- reise als entsprechend gering erscheinen lassen könnten.</w:t>
      </w:r>
    </w:p>
    <w:p>
      <w:r>
        <w:rPr>
          <w:b/>
        </w:rPr>
        <w:t>E. 4.2</w:t>
      </w:r>
    </w:p>
    <w:p>
      <w:r>
        <w:t>Demgegenüber macht der Beschwerdeführer in der Beschwerdeschrift geltend, die Gesuchstellerin 1 sei Eigentümerin von Immobilien und ver- walte als Familienoberhaupt aktiv das Familienvermögen. Die Gesuchstel- lerin 2 sei verlobt und plane am 4. Oktober 2025 eine Hochzeit. Eine Ver- lobung und eine bevorstehende Heirat seien in Pakistan kulturell und recht- lich bedeutende Verpflichtungen, die eine Rückkehr erforderlich machen würden. Ihre feste berufliche Position bei einer angesehen Finanzinstitu- tion biete eine zusätzliche Absicherung. Der Gesuchsteller 3 sei Vollzeit- student an der E._______ und studiere Forensik und Cybersicherheit. Er habe ein ausstehendes Studienprogramm und müsse Prüfungen ablegen. Weiter habe er – der Beschwerdeführer – für jeden der Gesuchstellenden eine Verpflichtungserklärung in Höhe von Fr. 30'000.– unterzeichnet, was eindeutig belege, dass diese während ihres Aufenthalts in der Schweiz fi- nanziell abgesichert seien.</w:t>
      </w:r>
    </w:p>
    <w:p>
      <w:r>
        <w:rPr>
          <w:b/>
        </w:rPr>
        <w:t>E. 4.3</w:t>
      </w:r>
    </w:p>
    <w:p>
      <w:r>
        <w:t>Mit Vernehmlassung vom 19. Mai 2025 brachte die Vorinstanz ergän- zend vor, die langjährige Erfahrung habe gezeigt, dass auch eine bevor- stehende Heirat die Rückkehr in ein Herkunftsland mit politisch und</w:t>
      </w:r>
    </w:p>
    <w:p>
      <w:r>
        <w:t>F-2243/2025 Seite 8 wirtschaftlich schwieriger Situation nicht sicherzustellen vermöge. Der Partner könne auch später geheiratet und nachgezogen werden.</w:t>
      </w:r>
    </w:p>
    <w:p>
      <w:r>
        <w:rPr>
          <w:b/>
        </w:rPr>
        <w:t>E. 4.4</w:t>
      </w:r>
    </w:p>
    <w:p>
      <w:r>
        <w:t>Mit Replik vom 2. Juni 2025 machte der Beschwerdeführer geltend, alle Visumsvoraussetzungen seien erfüllt.</w:t>
      </w:r>
    </w:p>
    <w:p>
      <w:r>
        <w:rPr>
          <w:b/>
        </w:rPr>
        <w:t>E. 5</w:t>
      </w:r>
    </w:p>
    <w:p>
      <w:r>
        <w:t>Zu prüfen ist, ob die Gesuchstellenden Gewähr für eine fristgerechte Wie- derausreise aus dem Schengen-Raum bieten (vgl. oben E. 3.3.2).</w:t>
      </w:r>
    </w:p>
    <w:p>
      <w:r>
        <w:rPr>
          <w:b/>
        </w:rPr>
        <w:t>E. 5.1</w:t>
      </w:r>
    </w:p>
    <w:p>
      <w:r>
        <w:t>Pakistan leidet unter einer schweren Wirtschafts- und Finanzkrise. Das durchschnittliche Jahreseinkommen von EUR 1'350.– pro Person, mithin EUR 112.50 pro Monat, ist sehr niedrig (vgl. &lt; https://www.laenderda- ten.info/durchschnittseinkommen.php &gt; abgerufen am 27.10.2025). Zu- dem bestehen hohe politische und soziale Spannungen: Landesweit sind Terroranschläge zu befürchten. Mögliche Ziele sind Behörden, staatliche Einrichtungen, religiöse Minderheiten und belebte Orte wie Märkte, Ein- kaufszentren oder der öffentliche Verkehr. Die jüngste Eskalation zwischen Indien und Pakistan verschärft die ohnehin angespannte Lage zusätzlich und birgt das Risiko weiterer politischer Destabilisierung sowie einer Zu- spitzung der Sicherheitslage in der Region (vgl. &lt; https://www.eda.ad- min.ch &gt; Reisehinweise und Vertretungen &gt; Länderauswahl &gt; Pakistan &gt; Reisehinweise für Pakistan, abgerufen am 27.10.2025). Auf dem aktuellen Index der menschlichen Entwicklung, der durch das Entwicklungspro- gramm der Vereinten Nationen im Sinn eines Wohlstandsindikators erstellt wird, belegt Pakistan Platz 164 von 191 gelisteten Staaten (vgl. &lt; https://hdr.undp.org &gt; Data Center Country Insights Pakistan, abgerufen am 27.10.2025). Angesichts dieser Umstände ist nicht zu beanstanden, dass die Vorinstanz das Risiko einer nicht fristgerechten Wiederausreise in Bezug auf Pakistan als grundsätzlich hoch eingestuft hat. Die in der Replik erhobene Rüge, der Entscheid sei diskriminierend, indem bei Antragsstel- lern aus Pakistan allgemein von einem erhöhten Risiko der illegalen Emig- ration ausgegangen werde, ist unbegründet. Personen aus Pakistan wird nicht wegen ihrer Herkunft, sondern aus sachlichen Gründen, die mit der Herkunft in Verbindung stehen, ein erhöhtes Emigrationsrisiko attestiert.</w:t>
      </w:r>
    </w:p>
    <w:p>
      <w:r>
        <w:rPr>
          <w:b/>
        </w:rPr>
        <w:t>E. 5.2</w:t>
      </w:r>
    </w:p>
    <w:p>
      <w:r>
        <w:t>Aufgrund ihrer Pensionierung hat die Gesuchstellerin 1 keine besonde- ren beruflichen Verpflichtungen in Pakistan, die eine Rückkehr erforderlich machen würden. Bei Personen im fortgeschrittenen Alter kann die Qualität der Gesundheitsversorgung in der Schweiz sowie die Möglichkeit, sich durch hierzulande anwesende Angehörige pflegen zu lassen, vielmehr</w:t>
      </w:r>
    </w:p>
    <w:p>
      <w:r>
        <w:t>F-2243/2025 Seite 9 einen Anreiz schaffen, um der Ausreisepflicht nicht nachzukommen (vgl. Urteil des BVGer F-3680/2022 vom 13. September 2023 E. 8.3). Der Um- stand, dass die Gesuchstellerin 1 über Wohneigentum in Pakistan verfügt, vermag daran nichts zu ändern, da solche Vermögenswerte durch eine Emigration nicht verloren gehen. Die Gesuchstellerin 2 geht sodann einer Erwerbstätigkeit als Büroangestellte in einer Bank nach, wobei sie gemäss der eingereichten Arbeitsbestätigung im Bereich des Kundensupports («Call Center») tätig ist. Ihre beruflichen Verpflichtungen sind nicht als der- art bedeutend einzustufen, als dass sie hinreichende Gewähr für eine frist- gerechte Wiederausreise bieten könnten. Auch ihre geplante Heirat würde durch eine Emigration nicht verunmöglicht, sondern könnte später nachge- holt werden. Beim Gesuchsteller 3 bieten schliesslich die Verpflichtungen aus seinem Studium alleine keine Gewähr für eine fristgerechte Wieder- ausreise. Insbesondere könnte er dieses grundsätzlich auch an einer Uni- versität ausserhalb von Pakistan weiterverfolgen.</w:t>
      </w:r>
    </w:p>
    <w:p>
      <w:r>
        <w:rPr>
          <w:b/>
        </w:rPr>
        <w:t>E. 5.3</w:t>
      </w:r>
    </w:p>
    <w:p>
      <w:r>
        <w:t>Zusammenfassend vermögen die persönlichen Verhältnisse der Ge- suchstellenden das aufgrund der allgemeinen Verhältnisse in Pakistan be- stehende hohe Risiko für eine nicht fristgerechte Wiederausreise nicht zu relativieren. An dieser Einschätzung vermögen die vom Beschwerdeführer abgegebenen Verpflichtungserklärungen nichts zu ändern, da diese im Zu- sammenhang mit dem Kriterium der ausreichenden finanziellen Mittel für den Aufenthalt und die Rückreise stehen (vgl. E. 3.3.3) und die Prognose für eine fristgerechte Wiederausreise nicht zu beeinflussen vermögen. Auch die Erklärung des Beschwerdeführers in der Beschwerdeschrift, wo- nach er garantiere, dass die Gesuchstellenden die Schweiz vor Ablauf des Visums verlassen würden, ist unbeachtlich, da eine solche Erklärung recht- lich nicht durchsetzbar ist. Schliesslich beruft sich der Beschwerdeführer in der Replik zu Unrecht auf den Anspruch auf Achtung des Familienlebens nach Art. 8 Ziff. 1 EMRK; der Schutzbereich dieser Garantie ist nicht be- rührt (vgl. BGE 144 II 1 E. 6.1).</w:t>
      </w:r>
    </w:p>
    <w:p>
      <w:r>
        <w:rPr>
          <w:b/>
        </w:rPr>
        <w:t>E. 6</w:t>
      </w:r>
    </w:p>
    <w:p>
      <w:r>
        <w:t>Gestützt auf die obigen Erwägungen erweist sich die Verweigerung der Ausstellung der Visa durch die Vorinstanz als rechtmässig. Die angefoch- tene Verfügung ist somit im Lichte von Art. 49 VwVG nicht zu beanstanden und die Beschwerde ist abzuweisen.</w:t>
      </w:r>
    </w:p>
    <w:p>
      <w:r>
        <w:rPr>
          <w:b/>
        </w:rPr>
        <w:t>E. 7</w:t>
      </w:r>
    </w:p>
    <w:p>
      <w:r>
        <w:t>Bei diesem Ausgang des Verfahrens sind die Kosten dem Beschwerdefüh- rer aufzuerlegen und auf Fr. 900.– festzusetzten (vgl. Art. 63 Abs. 1 VwVG</w:t>
      </w:r>
    </w:p>
    <w:p>
      <w:r>
        <w:t>F-2243/2025 Seite 10 i.V.m. Art. 1-3 des Reglements vom 21. Februar 2008 über die Kosten und Entschädigungen vor dem Bundesverwaltungsgericht [VGKE, SR 173.320.2]). Sie sind durch den in gleicher Höhe geleisteten Kostenvor- schuss gedeckt.</w:t>
      </w:r>
    </w:p>
    <w:p>
      <w:r>
        <w:rPr>
          <w:b/>
        </w:rPr>
        <w:t>E. 8</w:t>
      </w:r>
    </w:p>
    <w:p>
      <w:r>
        <w:t>Das vorliegende Urteil ist endgültig (vgl. Art. 83 Bst. c Ziff. 1 BGG). (Dispositiv nächste Seite)</w:t>
      </w:r>
    </w:p>
    <w:p>
      <w:r>
        <w:t>F-2243/2025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