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F-2234/2024 vom 19. April 2024</w:t>
      </w:r>
    </w:p>
    <w:p>
      <w:r>
        <w:t>Bundesverwaltungsgericht, 2024-04-19, FR</w:t>
      </w:r>
    </w:p>
    <w:p>
      <w:r>
        <w:rPr>
          <w:b/>
        </w:rPr>
        <w:t xml:space="preserve">Quelle: </w:t>
      </w:r>
      <w:r>
        <w:t>https://mcp.opencaselaw.ch/entscheid/bvger_F-2234_2024</w:t>
      </w:r>
    </w:p>
    <w:p>
      <w:r>
        <w:t>FR: TAF F-2234/2024 du 19 avril 2024</w:t>
      </w:r>
    </w:p>
    <w:p>
      <w:r>
        <w:t>IT: TAF F-2234/2024 del 19 aprile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L'intéressée a qualité pour recourir ; le recours, qui a été interjeté dans la forme et le délai prescrits, est recevable (art. 48 al. 1 et 52 al. 1 PA [RS 172.021], applicables par renvoi de l'art. 37 LTAF, et art. 108 al. 3 LAsi).</w:t>
      </w:r>
    </w:p>
    <w:p>
      <w:r>
        <w:rPr>
          <w:b/>
        </w:rPr>
        <w:t>E. 1.3.1</w:t>
      </w:r>
    </w:p>
    <w:p>
      <w:r>
        <w:t>Saisi d'un recours contre une décision de non-entrée en matière sur une demande d'asile, le Tribunal se limite à examiner le bien-fondé d'une telle décision (cf. ATAF 2017 VI/5 consid. 3.1).</w:t>
      </w:r>
    </w:p>
    <w:p>
      <w:r>
        <w:rPr>
          <w:b/>
        </w:rPr>
        <w:t>E. 1.3.2</w:t>
      </w:r>
    </w:p>
    <w:p>
      <w:r>
        <w:t>En l'espèce, l'intéressée a explicitement conclu, sur le fond, uniquement à l'annulation de la décision querellée. Il peut cependant être déduit de la motivation de son recours qu'elle souhaite, de manière implicite, que l'autorité intimée entre en matière sur sa demande d'asile. Par ailleurs, la recourante a soutenu que l'exécution de son renvoi n'était « pas raisonnablement exigible, licite » et ne plus avoir de réseau social dans son pays d'origine (cf. recours, p. 3). S'agissant en l'occurrence d'une décision de non-entrée en matière fondée sur l'art. 31a al. 1 let. b LAsi, l'exécution du renvoi, respectivement du transfert, intervient, le cas échéant, vers l'Etat membre compétent pour mener la procédure d'asile défini en vertu du RD III et non pas le pays d'origine. Par conséquent, l'art. 44 dernière phrase LAsi, en tant qu'il renvoie à l'art. 83 LEI (RS 142.20) régissant l'admission provisoire, ne trouve pas application (cf. ATAF 2015/18 consid. 5.2 ; 2010/45 consid. 10.2). Cela étant, la conclusion implicite du recours tendant au prononcé d'une admission provisoire est irrecevable.</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à son chapitre III. Dans une procédure de reprise en charge (anglais : take back), tel qu'en l'espèce, il n'y a en principe aucun nouvel examen de la compétence selon ledit chapitre (cf. ATAF 2017 VI/5 consid. 6.2 et 8.2.1 et réf. cit.).</w:t>
      </w:r>
    </w:p>
    <w:p>
      <w:r>
        <w:rPr>
          <w:b/>
        </w:rPr>
        <w:t>E. 2.3</w:t>
      </w:r>
    </w:p>
    <w:p>
      <w:r>
        <w:t>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w:t>
      </w:r>
    </w:p>
    <w:p>
      <w:r>
        <w:rPr>
          <w:b/>
        </w:rPr>
        <w:t>E. 2.4</w:t>
      </w:r>
    </w:p>
    <w:p>
      <w:r>
        <w:t>En l'occurrence, à la suite de la requête soumise par le SEM dans le délai prévu à l'art. 23 par. 2 RD III, les autorités françaises compétentes ont expressément accepté de reprendre en charge l'intéressée dans le délai fixé à l'art. 25 par. 1 RD III. Ainsi, la France a reconnu sa compétence pour traiter la demande d'asile de la recourante.</w:t>
      </w:r>
    </w:p>
    <w:p>
      <w:r>
        <w:rPr>
          <w:b/>
        </w:rPr>
        <w:t>E. 3.1</w:t>
      </w:r>
    </w:p>
    <w:p>
      <w:r>
        <w:t>Cela étant, il y a lieu d'examiner, en vertu de l'art. 3 par. 2 al. 2 RD III, s'il y a de sérieuses raisons de croire qu'il existe en France des défaillances systémiques dans la procédure d'asile et les conditions d'accueil des demandeurs, qui entrainent un risque de traitement inhumain ou dégradant au sens de l'art. 4 de la Charte des droits fondamentaux de l'Union européenne (JO C 364/1 du 18.12.2000, Charte UE).</w:t>
      </w:r>
    </w:p>
    <w:p>
      <w:r>
        <w:rPr>
          <w:b/>
        </w:rPr>
        <w:t>E. 3.2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3.3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Cette présomption de sécurité n'est cependant pas irréfragable et doit être écartée d'office en présence, dans l'Etat de destination du transfert, d'une pratique avérée de violations systémiques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3.4</w:t>
      </w:r>
    </w:p>
    <w:p>
      <w:r>
        <w:t>Cela n'est manifestement pas le cas s'agissant de la France. Partant, l'application de l'art. 3 par. 2 al. 2 RD III ne se justifie pas en l'espèce.</w:t>
      </w:r>
    </w:p>
    <w:p>
      <w:r>
        <w:rPr>
          <w:b/>
        </w:rPr>
        <w:t>E. 4.1</w:t>
      </w:r>
    </w:p>
    <w:p>
      <w:r>
        <w:t>Pour s'opposer à son transfert, la recourante a soutenu qu'elle recherchait sa soeur se trouvant en Suisse, qu'elle ne disposait d'aucun réseau social en France et qu'elle était inscrite à l'Université de B._______.</w:t>
      </w:r>
    </w:p>
    <w:p>
      <w:r>
        <w:rPr>
          <w:b/>
        </w:rPr>
        <w:t>E. 4.2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4.3</w:t>
      </w:r>
    </w:p>
    <w:p>
      <w:r>
        <w:t>Tout d'abord, l'intéressée a implicitement fait valoir le droit au respect de sa vie familiale (art. 8 CEDH), en invoquant la présence de sa soeur en Suisse. Les relations familiales visées par cette disposition sont avant tout celles qui concernent la famille au sens étroit (famille nucléaire), soit celles qui existent entre époux ainsi qu'entre parents et enfants mineurs vivant en ménage commun (cf. ATF 147 I 268 consid. 1.2.3 ; 144 II 1 consid. 6.1). D'autres liens familiaux ou de parenté peuvent également être protégés, à l'instar de ceux dont il est question à l'art. 16 par. 1 RD III, lorsqu'il y a un rapport de dépendance particulier dépassant les relations familiales, respectivement les liens émotionnels, usuels (cf. ibid.), par exemple en raison d'un handicap ou d'une maladie grave (cf. ATF 145 I 227 consid. 3.1). En l'occurrence, la présence de la soeur de la recourante en Suisse se limite à une affirmation nullement étayée par cette dernière. De plus, l'intéressée n'ayant pas même mentionné sa soeur lorsqu'elle a été interrogée sur les membres de sa famille vivant en Suisse au cours de l'entretien Dublin, leur relation ne saurait, à l'évidence, être assimilée à un rapport de dépendance tel qu'exigé par la jurisprudence.</w:t>
      </w:r>
    </w:p>
    <w:p>
      <w:r>
        <w:rPr>
          <w:b/>
        </w:rPr>
        <w:t>E. 4.4</w:t>
      </w:r>
    </w:p>
    <w:p>
      <w:r>
        <w:t>Quant à l'argument selon lequel la recourante serait dépourvue de liens sociaux en France, il ne fait pas même en l'admettant obstacle à l'exécution de son transfert vers cet Etat. En effet, si l'intéressée devait, à l'issue de son transfert vers ce pays,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F-1530/2024 du 15 mars 2024 consid. 4.4).</w:t>
      </w:r>
    </w:p>
    <w:p>
      <w:r>
        <w:rPr>
          <w:b/>
        </w:rPr>
        <w:t>E. 4.5</w:t>
      </w:r>
    </w:p>
    <w:p>
      <w:r>
        <w:t>S'agissant du souhait exprimé par la recourante de pouvoir étudier à l'Université de B._______, il relève de la pure convenance personnelle et ne saurait remettre en cause le transfert prononcé, en vertu du RD III, vers la France. Il convient de rappeler, à cet égard, que le RD III ne confère pas aux demandeurs d'asile le droit de choisir l'Etat membre offrant, à leur avis, les meilleures conditions d'accueil comme Etat responsable de l'examen de leur demande d'asile (cf. ATAF 2017 VI/5 consid. 8.2.1).</w:t>
      </w:r>
    </w:p>
    <w:p>
      <w:r>
        <w:rPr>
          <w:b/>
        </w:rPr>
        <w:t>E. 4.6</w:t>
      </w:r>
    </w:p>
    <w:p>
      <w:r>
        <w:t>Il s'ensuit que le transfert de la recourante en France n'est pas contraire aux obligations de la Suisse relevant du droit international public.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(cf. ATAF 2017 VI/5 consid. 8.5.2).</w:t>
      </w:r>
    </w:p>
    <w:p>
      <w:r>
        <w:rPr>
          <w:b/>
        </w:rPr>
        <w:t>E. 5</w:t>
      </w:r>
    </w:p>
    <w:p>
      <w:r>
        <w:t>Au vu de ce qui précède, c'est à juste titre que le SEM n'est pas entré en matière sur la demande d'asile de l'intéressée, en application de l'art. 31a al. 1 let. b LAsi, et a prononcé son transfert de la Suisse vers la France, en application de l'art. 44 LAsi, aucune exception à la règle générale du renvoi n'étant réalisée (art. 32 OA 1). Par conséquent, le recours doit être rejeté, dans la mesure où il est recevable.</w:t>
      </w:r>
    </w:p>
    <w:p>
      <w:r>
        <w:rPr>
          <w:b/>
        </w:rPr>
        <w:t>E. 6.1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la requête formulée dans le recours tendant à l'octroi de l'effet suspensif est sans objet.</w:t>
      </w:r>
    </w:p>
    <w:p>
      <w:r>
        <w:rPr>
          <w:b/>
        </w:rPr>
        <w:t>E. 7.1</w:t>
      </w:r>
    </w:p>
    <w:p>
      <w:r>
        <w:t>Par ailleurs, les conclusions du recours étant d'emblée vouées à l'échec, la demande d'assistance judiciaire partielle est rejetée.</w:t>
      </w:r>
    </w:p>
    <w:p>
      <w:r>
        <w:rPr>
          <w:b/>
        </w:rPr>
        <w:t>E. 7.2</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