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F-2231/2023 vom 15. Februar 2024</w:t>
      </w:r>
    </w:p>
    <w:p>
      <w:r>
        <w:t>Bundesverwaltungsgericht, 2024-02-15, DE</w:t>
      </w:r>
    </w:p>
    <w:p>
      <w:r>
        <w:rPr>
          <w:b/>
        </w:rPr>
        <w:t xml:space="preserve">Quelle: </w:t>
      </w:r>
      <w:r>
        <w:t>https://mcp.opencaselaw.ch/entscheid/bvger_F-2231_2023</w:t>
      </w:r>
    </w:p>
    <w:p>
      <w:r>
        <w:t>FR: TAF F-2231/2023 du 15 février 2024</w:t>
      </w:r>
    </w:p>
    <w:p>
      <w:r>
        <w:t>IT: TAF F-2231/2023 del 15 febbraio 2024</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Die Beschwerdeführerin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Dem angefochtenen Entscheid liegt das Gesuch einer iranischen Staatsangehörigen um Erteilung eines Visums zu Besuchszwecken für die Schweiz zugrunde. Da sie sich als sogenannte Drittstaatsangehörige nicht</w:t>
      </w:r>
    </w:p>
    <w:p>
      <w:r>
        <w:t>F-2231/2023 Seite 4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w:t>
      </w:r>
    </w:p>
    <w:p>
      <w:r>
        <w:t>F-2231/2023 Seite 5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w:t>
      </w:r>
    </w:p>
    <w:p>
      <w:r>
        <w:rPr>
          <w:b/>
        </w:rPr>
        <w:t>E. 4.4</w:t>
      </w:r>
    </w:p>
    <w:p>
      <w:r>
        <w:t>Ist das Visum zu verweigern, weil einer oder mehrere Ablehnungs- 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 onaler Verpflichtungen für erforderlich hält, vom Grundsatz abzuweichen, dass die in Art. 6 Abs. 1 Bst. a, c, d und e SGK festgelegten Einreisevo- raussetzungen erfüllt sein müssen (Art. 25 Abs. 1 Bst. a Ziff. i VK).</w:t>
      </w:r>
    </w:p>
    <w:p>
      <w:r>
        <w:rPr>
          <w:b/>
        </w:rPr>
        <w:t>E. 5.1</w:t>
      </w:r>
    </w:p>
    <w:p>
      <w:r>
        <w:t>Iranische Staatsangehörige in der Situation der Beschwerdeführerin unterstehen der Visumpflicht (Art. 3 Abs. 1 der Verordnung (EU) 2018/1806 i.V.m. deren Anhang I Ziff. 1). Die Erteilung eines Visums wurde ihr auf Einsprache hin verweigert, weil keine hinreichenden Gründe für eine</w:t>
      </w:r>
    </w:p>
    <w:p>
      <w:r>
        <w:t>F-2231/2023 Seite 6 fristgerechte und anstandslose Wiederausreise bestünden. Damit wurde auf den Verweigerungsgrund des Art. 32 Abs. 1 Bst. b VK Bezug genom- men, demgemäss das Visum der gesuchstellenden Person zu verweigern ist, «wenn begründete Zweifel (…) an der Glaubwürdigkeit (ihrer) Aussa- gen oder der von (ihr) bekundeten Absicht bestehen, das Hoheitsgebiet der Mitgliedstaaten vor Ablauf der Gültigkeit des beantragten Visums zu ver- 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Zur allgemeinen Situation in Iran kann festgehalten werden, dass die dortige Wirtschaft tief in der Rezession steckt; Inflation und Arbeitslosigkeit sind hoch. Ursächlich dafür sind Klientelpolitik, internationale Sanktionen und die grosse Abhängigkeit vom Erdölexport. Seit Mitte September 2022 kommt es zudem in zahlreichen Städten des Landes zu Protesten gegen die Regierung. Bei Ausschreitungen und gewaltsamen Zusammenstössen zwischen Sicherheitskräften und Demonstrierenden sind zahlreiche Perso- nen getötet oder verletzt worden. Auch die schwierige Wirtschaftslage führt periodisch zu Kundgebungen, zum Beispiel im Zusammenhang mit Preis- erhöhungen. Das Risiko von Anschlägen besteht im ganzen Land. So wur- den im August 2023 sowie Oktober 2022 mehrere Personen bei Attentaten auf den Shah Cheragh-Schrein in Shiraz getötet oder verletzt (vgl. https://www.bpb.de/themen/naher-mittlerer-osten/iran und https://www.eda .admin.ch/eda/de/home/vertretungen-und-reisehinweise/iran/reisehinweis e-fuerdeniran.html; jeweils abgerufen im Januar 2024). Vor diesem Hinter- grund besteht bei der iranischen Bevölkerung oftmals ein Wunsch nach Auswanderung, der erfahrungsgemäss dort begünstigt wird, wo bereits</w:t>
      </w:r>
    </w:p>
    <w:p>
      <w:r>
        <w:t>F-2231/2023 Seite 7 Verwandte oder Bekannte im Ausland leben. Es ist daher nicht zu bean- standen, dass die Vorinstanz das allgemeine Risiko einer nicht fristgerech- ten Wiederausreise von Personen aus Iran grundsätzlich als hoch ein- schätzt (vgl. Urteil des BVGer F-1600/2023 vom 7. November 2023 E. 5.1).</w:t>
      </w:r>
    </w:p>
    <w:p>
      <w:r>
        <w:rPr>
          <w:b/>
        </w:rPr>
        <w:t>E. 6.2</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gesellschaftliche oder familiäre Verantwortung im Herkunftsland bzw. eine stabile, die Existenz sichernde wirtschaftliche Situation die Prognose einer anstandslosen Wie- derausreise vor Ablauf der Visumdauer begünstigen. Umgekehrt muss bei Personen, die in ihrer Heimat keine besonderen Verpflichtungen haben oder die sich in wirtschaftlich ungünstigen Verhältnissen befinden, das Ri- siko eines ausländerrechtlich nicht regelkonformen Verhaltens nach einer bewilligten Einreise als vergleichsweise hoch eingeschätzt werden (BVGE 2014/1 E. 6.3.1; 2009/27 E. 8).</w:t>
      </w:r>
    </w:p>
    <w:p>
      <w:r>
        <w:rPr>
          <w:b/>
        </w:rPr>
        <w:t>E. 6.3</w:t>
      </w:r>
    </w:p>
    <w:p>
      <w:r>
        <w:t>Die Beschwerdeführerin erklärte in der Beschwerdeschrift, sie wolle in der Schweiz ihre eine Tochter und deren beste Freundin samt Familie, da- runter auch der als Gastgeber auftretende Vater der besagten Freundin, sowie ihre andere Tochter, die derzeit eine Aufenthaltsgenehmigung Grie- chenlands besitzt, und deren Partner sowie dessen Familie besuchen. Sie sei schon sehr alt und wolle ihre Töchter vor ihrem Tod noch einmal sehen.</w:t>
      </w:r>
    </w:p>
    <w:p>
      <w:r>
        <w:rPr>
          <w:b/>
        </w:rPr>
        <w:t>E. 6.4</w:t>
      </w:r>
    </w:p>
    <w:p>
      <w:r>
        <w:t>Bei der Beschwerdeführerin handelt es sich um eine 1949 geborene Frau, die ihr ganzes Leben lang in Iran gelebt hat. Sie ist verwitwet und hat sieben erwachsene Kinder, von denen fünf im Iran wohnen. Der Be- schwerde zufolge wohnt sie mit einem ihrer Söhne in einem grossen Haus und übernimmt einen massgeblichen Anteil der Pflege und Betreuung ihrer Enkelkinder, der drei Kinder eines anderen ihrer Söhne. Zudem stehe sie mit ihren Kindern im steten Austausch und habe viele Freundinnen und Freunde. Zwei ihrer Kinder leben in Europa (vgl. E. 6.3).</w:t>
      </w:r>
    </w:p>
    <w:p>
      <w:r>
        <w:t>F-2231/2023 Seite 8 Nach dem Gesagten liegen im Sinne der Rechtsprechung keine besonde- ren familiären Verpflichtungen der Beschwerdeführerin in Iran vor. Nament- lich stellt die geltend gemachte Betreuung der Enkelkinder, zwei bis drei Mal pro Woche und während den Schulferien täglich, im vorliegenden Fall keinen Umstand dar, welcher die Prognose einer anstandslosen Wieder- ausreise entscheidwesentlich zu begünstigen vermöchte. Insbesondere da die Kinder (7-, 15- und 18-jährig) gemäss Aktenlage keiner besonderen Betreuung bedürfen und nicht dargetan wurde, inwiefern die Betreuung zwingend durch sie, und namentlich nicht etwa die Mutter der Kinder, erfol- gen müsste. Unter diesen Umständen vermögen die familiären Verpflich- tungen der Beschwerdeführerin im Heimatstaat die Bedenken hinsichtlich eines ausländerrechtlich nicht regelkonformen Verhaltens derselben nach einer Einreise in die Schweiz nicht zu zerstreuen. Da die Beschwerdeführerin ihr Leben lang als Hausfrau tätig war, liegen auch keine besonderen beruflichen Verhältnisse vor, welche die Prognose einer anstandslosen Wiederausreise zu begünstigen vermöchten. In Bezug auf die wirtschaftlichen Verhältnisse brachte die Beschwerdefüh- rerin vor, Hauseigentümerin zu sein und durch ihre Kinder finanziert zu werden. Der eingereichte Kontoauszug weist einen Betrag von umgerech- net circa CHF 19'700.– auf. Die Vorinstanz stellte in Bezug darauf fest, dass der Betrag aus mehreren Einzahlungen bestehe, die kurz vor Einrei- chung des Visumsantrags getätigt wurden, und daraus folglich nichts zu Gunsten der Beschwerdeführerin abgeleitet werden könne. Die Beschwer- deführerin brachte hiergegen vor, dass der Sohn, mit welchem sie zusam- menwohne, eine Zeit lang von zu Hause weg gewesen sei und dass des- halb beschlossen worden sei, die Unterhaltsbeträge für diese Zeit zu über- weisen. Dieses Vorbringen ist in Anbetracht der grossen Summe und des Umstands, dass die Beschwerdeführerin während der behaupteten Abwe- senheit des Sohns auch von den anderen in ihrer Nähe lebenden Kindern finanziell hätte unterstützt werden können, wenig glaubhaft. Ohnehin kön- nen gemäss Rechtsprechung selbst Vermögen oder Grundbesitz grund- sätzlich keine hinreichende Gewähr für eine fristgerechte und anstands- lose Wiederausreise bieten, da auch im Falle einer Migration solche Ver- mögenswerte nicht verloren gehen (vgl. statt vieler Urteil des BVGer F- 433/2023 vom 6. Oktober 2023 E. 8.1). Die Vorbringen zu den Berufen mit hohem Status und gutem Einkommen der in Iran lebenden Söhne sind un- substantiiert, bleiben unbelegt und führen deshalb zu keiner anderen Be- urteilung.</w:t>
      </w:r>
    </w:p>
    <w:p>
      <w:r>
        <w:t>F-2231/2023 Seite 9</w:t>
      </w:r>
    </w:p>
    <w:p>
      <w:r>
        <w:rPr>
          <w:b/>
        </w:rPr>
        <w:t>E. 6.5</w:t>
      </w:r>
    </w:p>
    <w:p>
      <w:r>
        <w:t>Nach dem Gesagten ist bei objektiver Betrachtung das Risiko eines ausländerrechtlich nicht regelkonformen Verhaltens nach einer bewilligten Einreise zu Besuchszwecken als vergleichsweise hoch einzuschätzen. Die Vorinstanz durfte rechtsfehlerfrei davon ausgehen, dass vor dem Hinter- grund der Lage in Iran die persönlichen Lebensumstände der Beschwer- deführerin keine ausreichende Gewähr für eine fristgerechte und anstands- lose Wiederausreise nach einem Besuchsaufenthalt in der Schweiz bieten. Mit der fehlenden Gewähr für eine anstandslose Wiederausreise ist eine zwingende Voraussetzung für die Erteilung des Visums nicht erfüllt.</w:t>
      </w:r>
    </w:p>
    <w:p>
      <w:r>
        <w:rPr>
          <w:b/>
        </w:rPr>
        <w:t>E. 7.1</w:t>
      </w:r>
    </w:p>
    <w:p>
      <w:r>
        <w:t>Die Beschwerdeführerin machte weiter geltend, dass ein Grund für die Ausstellung eines VrG-Visums nach Art. 25 VK gegeben sei, da eine Ver- weigerung des Visums einer Verletzung von Art. 8 EMRK gleichkomme.</w:t>
      </w:r>
    </w:p>
    <w:p>
      <w:r>
        <w:rPr>
          <w:b/>
        </w:rPr>
        <w:t>E. 7.2</w:t>
      </w:r>
    </w:p>
    <w:p>
      <w:r>
        <w:t>Zum grundrechtlich geschützten Familienkreis gemäss Art. 8 Ziff. 1 EMRK gehört in erster Linie die Kernfamilie, das heisst die Gemeinschaft der Ehegatten sowie zwischen den Eltern und ihren minderjährigen Kin- dern. Bei Vorliegen eines über die üblichen emotionalen Bindungen hin- ausgehenden besonderen Abhängigkeitsverhältnisses können auch an- dere familiäre Beziehungen in den Schutzbereich fallen (BGE 144 II 1 E. 6.1). Die Beschwerdeführerin machte in dieser Hinsicht geltend, mehr- mals wöchentlich den Kontakt mit ihrer in der Schweiz wohnhaften Tochter zu pflegen. Dies alleine begründet jedoch noch kein Abhängigkeitsverhält- nis im Sinne der Rechtsprechung. Ein solches ist aus den Akten nicht er- sichtlich und wird zu Recht auch nicht geltend gemacht. Zwischen der Be- schwerdeführerin und ihrer Tochter besteht nach dem Gesagten entgegen den Beschwerdevorbringen keine vom Schutzbereich von Art. 8 Ziff. 1 EMRK erfasste Beziehung.</w:t>
      </w:r>
    </w:p>
    <w:p>
      <w:r>
        <w:rPr>
          <w:b/>
        </w:rPr>
        <w:t>E. 7.3</w:t>
      </w:r>
    </w:p>
    <w:p>
      <w:r>
        <w:t>Weitere Gründe humanitärer oder anderer Art, welche die Erteilung ei- nes Visums mit räumlich beschränkter Gültigkeit rechtfertigen könnten, wurden nicht geltend gemacht und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die unterliegende</w:t>
      </w:r>
    </w:p>
    <w:p>
      <w:r>
        <w:t>F-2231/2023 Seite 10 Beschwerdeführerin kostenpflichtig (Art. 63 Abs. 1 VwVG i.V.m. Art. 1 ff. des Reglements vom 21. Februar 2008 über die Kosten und Entschädigun- gen vor dem Bundesverwaltungsgericht [VGKE, SR 173.320.2]). Eine Par- teientschädigung fällt ausgangsgemäss ausser Betracht (Art. 64 Abs. 1 VwVG).</w:t>
      </w:r>
    </w:p>
    <w:p>
      <w:r>
        <w:rPr>
          <w:b/>
        </w:rPr>
        <w:t>E. 10</w:t>
      </w:r>
    </w:p>
    <w:p>
      <w:r>
        <w:t>Dieses Urteil ist endgültig (Art. 83 Bst. c Ziff. 1 BGG). (Dispositiv nächste Seite)</w:t>
      </w:r>
    </w:p>
    <w:p>
      <w:r>
        <w:t>F-2231/2023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