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F-2231/2020 vom 25. September 2020</w:t>
      </w:r>
    </w:p>
    <w:p>
      <w:r>
        <w:t>Bundesverwaltungsgericht, 2020-09-25, DE</w:t>
      </w:r>
    </w:p>
    <w:p>
      <w:r>
        <w:rPr>
          <w:b/>
        </w:rPr>
        <w:t xml:space="preserve">Quelle: </w:t>
      </w:r>
      <w:r>
        <w:t>https://mcp.opencaselaw.ch/entscheid/bvger_F-2231_2020</w:t>
      </w:r>
    </w:p>
    <w:p>
      <w:r>
        <w:t>FR: TAF F-2231/2020 du 25 septembre 2020</w:t>
      </w:r>
    </w:p>
    <w:p>
      <w:r>
        <w:t>IT: TAF F-2231/2020 del 25 settembre 2020</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Beschwerdeführung legitimiert. Auf die frist- und formgerecht eingereichte Beschwerde ist einzutreten (Art. 48 ff.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3.1</w:t>
      </w:r>
    </w:p>
    <w:p>
      <w:r>
        <w:t>Nach Art. 67 Abs. 2 Bst. a AIG kann ein Einreiseverbot gegenüber Ausländern verfügt werden,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w:t>
      </w:r>
    </w:p>
    <w:p>
      <w:r>
        <w:rPr>
          <w:b/>
        </w:rPr>
        <w:t>E. 3.2</w:t>
      </w:r>
    </w:p>
    <w:p>
      <w:r>
        <w:t>Das Einreiseverbot gemäss Art. 67 Abs. 2 Bst. a AIG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VZAE). Widerhandlungen gegen Normen des Ausländerrechts fallen ohne weiteres unter diese Begriffsbestimmung und können ein Einreiseverbot nach sich ziehen (vgl. Botschaft, a.a.O., S. 3813). Dabei genügt es, wenn der ausländischen Person eine Sorgfaltspflichtverletzung zugerechnet werden kann (vgl. anstelle vieler: Urteil des BVGer F-3163/2017 vom 12. März 2019 E. 6.2).</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Zur Begründung des Einreiseverbots führte die Vorinstanz aus, der Beschwerdeführer sei in der Schweiz erwerbstätig gewesen, ohne im Besitze der erforderlichen ausländerrechtlichen Bewilligung gewesen zu sein. Als Erwerbstätigkeit gelte jede üblicherweise gegen Entgelt ausgeübte unselbständige oder selbständige Tätigkeit, auch wenn diese unentgeltlich erfolge. Dabei sei ohne Belang, ob die Beschäftigung nur stunden- oder tageweise oder vorübergehend ausgeübt werde. Die Ausübung einer solchen nicht bewilligten Erwerbstätigkeit stelle einen Verstoss gegen die Einreisevoraussetzungen des Ausländerrechts dar, womit auch gegen die öffentliche Sicherheit und Ordnung verstossen worden sei. Die Verfügung einer Fernhaltemassnahme zum Schutz der öffentlichen Sicherheit und Ordnung sei unabhängig eines allfälligen Strafverfahrens angezeigt. Unter Berücksichtigung der Stellungnahme im Rahmen des rechtlichen Gehörs erweise sich die Fernhaltemassnahme als verhältnismässig und gerechtfertigt.</w:t>
      </w:r>
    </w:p>
    <w:p>
      <w:r>
        <w:rPr>
          <w:b/>
        </w:rPr>
        <w:t>E. 4.2</w:t>
      </w:r>
    </w:p>
    <w:p>
      <w:r>
        <w:t>Der Beschwerdeführer macht mit Beschwerde geltend, er habe sich zum fraglichen Zeitpunkt in der Schweiz aufgehalten, um seine hier wohnende Lebenspartnerin zu besuchen. Sie würden beabsichtigen, in naher Zukunft zu heiraten, um gemeinsam in der Schweiz zu leben und hier eine Familie zu gründen. Dabei habe er in Erwägung gezogen, bei B._______, dem Vater eines Freundes, nach Erhalt der notwendigen Bewilligungen, zu arbeiten. Aus diesem Grund sei eine Führung durch den Betrieb von B._______ vereinbart worden. Beim Besichtigen einer Baustelle habe er sich bereit erklärt, eine kleine Arbeit probeweise auszuführen (Anbringen einer Sockelleiste). Eine Entschädigung für diese Tätigkeit habe er nicht erhalten. Es habe sich um ein Probearbeiten im Hinblick auf ein allfälliges zukünftiges Arbeitsverhältnis gehandelt. Er und B._______ hätten nicht gewusst, dass bereits diese kleine und unentgeltliche Tätigkeit einen Verstoss gegen Art. 11 Abs. 1 AIG darstelle. Der Beschwerdeführer sei von einem Freundschaftsdienst ausgegangen, und es fehle ihm diesbezüglich jegliches Unrechtsbewusstsein. Vorliegend würden keine Anhaltspunkte für ein Risiko einer künftigen Gefährdung der öffentlichen Sicherheit und Ordnung vorliegen. Er habe nie vorgehabt, in Umgehung der Schweizer Rechtsordnung zu arbeiten und beabsichtige auch nicht, dies in Zukunft zu tun. Es könne ihm deshalb keine negative Prognose gestellt werden. Die Dauer des Einreiseverbots sei in Anbetracht der in Art. 67 Abs. 3 AIG vorgesehenen Höchstdauer von fünf Jahren und angesichts der einmaligen Verfehlung unverhältnismässig.</w:t>
      </w:r>
    </w:p>
    <w:p>
      <w:r>
        <w:rPr>
          <w:b/>
        </w:rPr>
        <w:t>E. 4.3</w:t>
      </w:r>
    </w:p>
    <w:p>
      <w:r>
        <w:t>In ihrer Vernehmlassung erläutert die Vorinstanz, der Beschwerdeführer habe anlässlich der polizeilichen Einvernahme die behauptete bestehende Partnerschaft mit einer in der Schweiz wohnhaften Person nicht erwähnt. Zu seiner Tätigkeit für B._______ habe er ausgeführt, es seien Probearbeiten vereinbart worden. Seine Aussagen würden damit den Ausführungen in der Beschwerde widersprechen, wonach er grundsätzlich nur die Firma von B._______ habe besichtigen wollen und es dabei zu einer angeblich spontanen Arbeit für diesen gekommen sei. Die Arbeitstätigkeit und die Rechtmässigkeit des Einreiseverbots würden vom Beschwerdeführer nicht bestritten. Beanstandet werde die Dauer von zwei Jahren. Diese sei jedoch verhältnismässig und entspreche der ständigen Praxis und Rechtsprechung in vergleichbaren Fällen.</w:t>
      </w:r>
    </w:p>
    <w:p>
      <w:r>
        <w:rPr>
          <w:b/>
        </w:rPr>
        <w:t>E. 5.1</w:t>
      </w:r>
    </w:p>
    <w:p>
      <w:r>
        <w:t>Der Begriff der Erwerbstätigkeit ist weit zu fassen (vgl. etwa Urteil des BVGer F-6991/2018 vom 14. Oktober 2019 E. 5.4). Als Erwerbstätigkeit gilt jede üblicherweise gegen Entgelt ausgeübte unselbständige oder selbständige Tätigkeit (Art. 11 Abs. 2 AIG). Eine Tätigkeit gilt dann als üblicherweise auf Entgelt gerichtet, wenn sie ihrer Art und ihrem Umfang nach auf dem schweizerischen Arbeits- und Dienstleistungsmarkt angeboten wird (vgl. Egli/Meyer, in: Handkommentar AuG, 2010, Art. 11 Rz. 6). Ohne Belang für die Qualifikation als (unselbständige) Erwerbstätigkeit ist, ob die Beschäftigung nur stunden- oder tageweise oder vorübergehend ausgeübt wird (Art. 1a Abs. 1 VZAE).</w:t>
      </w:r>
    </w:p>
    <w:p>
      <w:r>
        <w:rPr>
          <w:b/>
        </w:rPr>
        <w:t>E. 5.2</w:t>
      </w:r>
    </w:p>
    <w:p>
      <w:r>
        <w:t>Den Akten lässt sich entnehmen, dass der Beschwerdeführer am 27. Februar 2020 bei B._______ eine Arbeit als Bodenleger ausgeführt hat. Die Tätigkeit wird vom Beschwerdeführer nicht bestritten, er macht jedoch geltend, es habe sich dabei um eine spontane Verrichtung gehandelt. Anlässlich der polizeilichen Einvernahme führte er hingegen aus, er habe diese Probearbeit von einem halben Tag mit B._______ im Hinblick auf eine allfällige spätere Anstellung im Vornherein vereinbart. Die Erklärung auf Beschwerdeebene erscheint damit nachgeschoben und unglaubhaft. Die vom Beschwerdeführer in der Firma von B._______ ausgeführte Tätigkeit als Bodenleger ist als Erwerbstätigkeit einzustufen, auch wenn sie vorliegend unentgeltlich erfolgt ist. Sie wird in ihrer Art und ihrem Umfang nach auf dem schweizerischen Arbeitsmarkt üblicherweise gegen Entgelt angeboten. Ohne Belang ist sodann, dass die Arbeitstätigkeit nur wenige Stunden gedauert hat. Den Fernhaltegrund von Art. 67 Abs. 2 Bst. a AIG hat der Beschwerdeführer damit erfüllt.</w:t>
      </w:r>
    </w:p>
    <w:p>
      <w:r>
        <w:rPr>
          <w:b/>
        </w:rPr>
        <w:t>E. 6.1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6.2</w:t>
      </w:r>
    </w:p>
    <w:p>
      <w:r>
        <w:t>Das generalpräventiv motivierte Interesse daran,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Urteile des BGer 2C_516/2014 vom 24. März 2015 E. 4.3.2 oder 2C_282/2012 vom 31. Juli 2012 E. 2.5 je m.H.). Dazu kommt eine spezialpräventive Zielsetzung der Massnahme, den Betroffenen zu ermahnen, ausländerrechtliche Bestimmungen zukünftig einzuhalten und so einer weiteren Störung der öffentlichen Sicherheit und Ordnung entgegenzuwirken (vgl. F-1827/2018 vom 30. September 2019 E. 7.1). Mit seinem Verhalten hat der Beschwerdeführer nach dem bisher Gesagten gegen die öffentliche Sicherheit und Ordnung verstossen bzw. unter diesen Oberbegriff fallende Rechtsgüter gefährdet. Damit besteht ein gewichtiges öffentliches Interesse an einer befristeten Fernhaltung des Beschwerdeführers.</w:t>
      </w:r>
    </w:p>
    <w:p>
      <w:r>
        <w:rPr>
          <w:b/>
        </w:rPr>
        <w:t>E. 6.3</w:t>
      </w:r>
    </w:p>
    <w:p>
      <w:r>
        <w:t>Den öffentlichen Interessen sind die privaten Interessen des Beschwerdeführers gegenüber zu stellen. In der Beschwerde macht er zum ersten Mal geltend, in der Schweiz eine Lebenspartnerin zu haben. Anlässlich der polizeilichen Einvernahme erwähnte er hingegen lediglich eine in der Schweiz wohnhafte Ex-Freundin. Die geltend gemachte bestehende Beziehung ist als nachgeschoben und unglaubhaft einzustufen. Der Beschwerdeführer erwähnte anlässlich der polizeilichen Einvernahme weiter, dass er in der Schweiz viele Bekannte habe. Näheres zu diesen Kontakten ist jedoch nicht bekannt. Die privaten Interessen vermögen weder eine Aufhebung noch eine Verkürzung des Einreiseverbots zu rechtfertigen. Die vorübergehende Einschränkung in der Pflege von Kontakten zu in der Schweiz ansässigen Bekannten hat der Beschwerdeführer selbst zu verantworten und in Kauf zu nehmen. 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 Nicht zu beanstanden ist schliesslich, dass dem Beschwerdeführer die Einreise in das Hoheitsgebiet sämtlicher Schengen-Staaten verboten wurde. Es bleibt den Schengen-Staaten unbenommen, dem Beschwerdeführer bei Vorliegen besonderer Gründe die Einreise in ihr Hoheitsgebiet zu gestatten.</w:t>
      </w:r>
    </w:p>
    <w:p>
      <w:r>
        <w:rPr>
          <w:b/>
        </w:rPr>
        <w:t>E. 7</w:t>
      </w:r>
    </w:p>
    <w:p>
      <w:r>
        <w:t>Die angefochtene Verfügung ist als rechtmässig im Sinne von Art. 49 VwVG zu bestätigen. Die Beschwerde ist demnach abzuweisen.</w:t>
      </w:r>
    </w:p>
    <w:p>
      <w:r>
        <w:rPr>
          <w:b/>
        </w:rPr>
        <w:t>E. 8</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Sie sind durch den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