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F-2222/2019 vom 17. Mai 2019</w:t>
      </w:r>
    </w:p>
    <w:p>
      <w:r>
        <w:t>Bundesverwaltungsgericht, 2019-05-17, DE</w:t>
      </w:r>
    </w:p>
    <w:p>
      <w:r>
        <w:rPr>
          <w:b/>
        </w:rPr>
        <w:t xml:space="preserve">Quelle: </w:t>
      </w:r>
      <w:r>
        <w:t>https://mcp.opencaselaw.ch/entscheid/bvger_F-2222_2019</w:t>
      </w:r>
    </w:p>
    <w:p>
      <w:r>
        <w:t>FR: TAF F-2222/2019 du 17 mai 2019</w:t>
      </w:r>
    </w:p>
    <w:p>
      <w:r>
        <w:t>IT: TAF F-2222/2019 del 17 maggio 2019</w:t>
      </w:r>
    </w:p>
    <w:p>
      <w:pPr>
        <w:pStyle w:val="Heading2"/>
      </w:pPr>
      <w:r>
        <w:t>Regeste</w:t>
      </w:r>
    </w:p>
    <w:p>
      <w:r>
        <w:t>Nichteintreten auf Asylgesuch und Wegweisung (Dublin-Verfahren)</w:t>
      </w:r>
    </w:p>
    <w:p>
      <w:pPr>
        <w:pStyle w:val="Heading2"/>
      </w:pPr>
      <w:r>
        <w:t>Erwägungen</w:t>
      </w:r>
    </w:p>
    <w:p>
      <w:r>
        <w:rPr>
          <w:b/>
        </w:rPr>
        <w:t>E. 1</w:t>
      </w:r>
    </w:p>
    <w:p>
      <w:r>
        <w:t>1.1 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(Art. 108 Abs. 2 AsylG und Art. 52 Abs. 1 VwVG).</w:t>
      </w:r>
    </w:p>
    <w:p>
      <w:r>
        <w:rPr>
          <w:b/>
        </w:rPr>
        <w:t>E. 1.2</w:t>
      </w:r>
    </w:p>
    <w:p>
      <w:r>
        <w:t>Für das vorliegende Verfahren gilt das bisherige Asylgesetz und nicht das am 1. März 2019 in Kraft getretene geänderte Gesetz (vgl. Abs. 1 der Übergangsbestimmungen zur Änderung des AsylG vom 25. September 2015).</w:t>
      </w:r>
    </w:p>
    <w:p>
      <w:r>
        <w:rPr>
          <w:b/>
        </w:rPr>
        <w:t>E. 2</w:t>
      </w:r>
    </w:p>
    <w:p>
      <w:r>
        <w:t>Das Verfahren richtet sich nach dem VwVG, soweit das VGG oder AsylG nichts anderes bestimmen (Art. 37 VGG; Art. 6 und Art. 105 ff. AsylG [SR 142.31]).</w:t>
      </w:r>
    </w:p>
    <w:p>
      <w:r>
        <w:rPr>
          <w:b/>
        </w:rPr>
        <w:t>E. 3.1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3.2</w:t>
      </w:r>
    </w:p>
    <w:p>
      <w:r>
        <w:t>Über offensichtlich unbegründete Beschwerden wird in einzelrichterlicher Zuständigkeit mit Zustimmung einer zweiten Richterin bzw. eines zweiten Richters entschieden (Art. 111 Bst. e AsylG). Vorliegend handelt es sich, wie nachfolgend aufgezeigt wird, um eine solche, weshalb auf einen Schriftenwechsel verzichtet und der vorliegende Entscheid nur summarisch begründet wird (Art. 111a Abs. 1 und 2 AsylG).</w:t>
      </w:r>
    </w:p>
    <w:p>
      <w:r>
        <w:rPr>
          <w:b/>
        </w:rPr>
        <w:t>E. 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5.3</w:t>
      </w:r>
    </w:p>
    <w:p>
      <w:r>
        <w:t>Bei sogenannten Aufnahmeverfahren (engl.: take charge) sind die in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Filzwieser/Sprung, Dublin III-Verordnung, Wien 2014, K4 zu Art. 7). Im Rahmen eines Wiederaufnahmeverfahrens (engl.: take back) findet demgegenüber grundsätzlich keine (erneute) Zuständigkeitsprüfung nach Kapitel III statt (vgl. zum Ganzen BVGE 2017 VI/5 E. 6.2 und 8.2.1 m.w.H.).</w:t>
      </w:r>
    </w:p>
    <w:p>
      <w:r>
        <w:rPr>
          <w:b/>
        </w:rPr>
        <w:t>E. 5.4</w:t>
      </w:r>
    </w:p>
    <w:p>
      <w:r>
        <w:t>Besitzt die antragstellende Person mehrere Aufenthaltstitel, die weniger als zwei Jahre zuvor abgelaufen sind, aufgrund deren sie in ein Hoheitsgebiet eines Mitgliedstaats einreisen konnte, so sind gemäss Art. 12 Abs. 4 Dublin-III-VO die Absätze 1, 2 und 3 dieses Artikels anwendbar, solange die antragstellende Person das Hoheitsgebiet der Mitgliedstaaten nicht verlassen hat. Art. 12 Abs. 3 Bst. a bestimmt, dass wenn die antragstellende Person mehrere gültige Aufenthaltstitel verschiedener Mitgliedstaaten besitzt, so sind die Mitgliedstaaten für die Prüfung des Antrags auf internationalen Schutz in folgender Reihenfolge zuständig: der Mitgliedstaat, der den Aufenthaltstitel mit der längsten Gültigkeitsdauer erteilt hat, oder bei gleicher Gültigkeitsdauer der Mitgliedstaat, der den zuletzt ablaufenden Aufenthaltstitel erteilt hat. Die Beschwerdeführerin besass je einen Aufenthaltstitel für die Niederlande (21. Dezember 2016 bis 31. Dezember 2017) und für Belgien (gemäss Ausführungen des SEM [vgl. Bst. D] gültig bis zum 31. Dezember 2018). Aus den Akten ist nicht ersichtlich, wann die belgischen Behörden den Aufenthaltstitel erteilten. Es ist vorliegend davon auszugehen, dass der Aufenthaltstitel für Belgien länger oder gleich lang gültig gewesen ist wie der niederländische, zumal die belgischen Behörden das Rückübernahmeersuchen des SEM in Kenntnis des Sachverhalts und der einschlägigen Bestimmungen der Dublin-III-VO guthiessen. Ihre grundsätzliche Zuständigkeit für die Durchführung des Asyl- und Wegweisungsverfahrens der Beschwerdeführerin ist somit gegeben. Der nach der Dublin-III-VO zuständige Mitgliedstaat ist verpflichtet, eine asylsuchende Person, die in einem anderen Mitgliedstaat einen Antrag gestellt hat, nach Massgabe der Artikel 21, 22 und 29 aufzunehmen (Art. 18 Abs. 1 Bst. a Dublin-III-VO).</w:t>
      </w:r>
    </w:p>
    <w:p>
      <w:r>
        <w:rPr>
          <w:b/>
        </w:rPr>
        <w:t>E. 5.5</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5.6</w:t>
      </w:r>
    </w:p>
    <w:p>
      <w:r>
        <w:t>Jeder Mitgliedstaat kann abweichend von Art. 3 Abs. 1 Dublin 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 6.6.1 Eine Prüfung der Akten ergibt, dass die im erstinstanzlichen Verfahren und auf Beschwerdeebene vorgebrachten Gründe nicht geeignet sind, die staatsvertragliche Zuständigkeit Belgiens für die Durchführung des Asyl- und Wegweisungsverfahrens zu ändern. 6.2 Wie das SEM zutreffend festgehalten hat, gibt es keine Gründe für die Annahme, das Asylverfahren und die Aufnahmebedingungen für asylsuchende Personen in Belgien würden Schwachstellen im Sinne von Art. 3 Abs. 2 Sätze 2 und 3 Dublin-III-VO aufweisen, die eine Gefahr einer unmenschlichen oder entwürdigenden Behandlung im Sinne des Artikels 4 der EU-Grundrechtecharta und Art. 3 EMRK mit sich bringen würden. 6.3 Belgien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grundsätzlich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6.4 Die Beschwerdeführerin hat des Weiteren nicht konkret dargetan, die belgischen Behörden würden sich weigern, einen Antrag auf internationalen Schutz unter Einhaltung der Regeln der Verfahrensrichtlinie zu prüfen. Den Akten sind denn auch keine Gründe für die Annahme zu entnehmen, Belgien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die Beschwerdeführerin nicht dargetan, die bei einer Rückführung erwartenden Bedingungen in Belgien seien derart schlecht, dass sie zu einer Verletzung von Art. 4 der EU-Grundrechtecharta, Art. 3 EMRK oder Art. 3 FoK führen könnten (vgl. BVGE 2017 VI/10 E. 5). Sie hat auch keine konkreten Hinweise für die Annahme dargetan, Belgien würde ihr die gemäss Aufnahmerichtlinie zustehende medizinische Versorgung vorenthalten. Eine Nachkontrolle des kürzlich bei der Beschwerdeführerin eingesetzten neuen Zahns kann auch bei einem Zahnarzt in Belgien erfolgen. 6.5 Belgien ist ein Rechtsstaat mit funktionierendem Justizsystem und verfügt über eine Polizeibehörde, die - wie die Vorinstanz zutreffend festhielt - sowohl als schutzwillig wie auch als schutzfähig gilt, sollten die Befürchtung der Beschwerdeführerin vor Übergriffen durch Privatpersonen begründet sein. 6.6 Unter diesen Umständen ist die Anwendung von Art. 3 Abs. 2 Dublin-III-VO nicht gerechtfertigt. 77.1 Soweit die Beschwerdeführerin sinngemäss das Vorliegen von "humanitären Gründen" geltend macht, ist Folgendes festzuhalten: Gemäss Art. Art. 29a Abs. 3 der Asylverordnung 1 vom 11. August 1999 (AsylV 1, SR 142.311) kann das SEM "aus humanitären Gründen" das Asylgesuch auch dann behandeln, wenn die Prüfung ergeben hat, dass ein anderer Staat dafür zuständig ist. In diesem Zusammenhang ist aber darauf hinzuweisen, dass der Gesetzgeber mit der Asylgesetzrevision vom 1. Februar 2014 die Kognition des Bundesverwaltungsgericht im Asylbeschwerdeverfahren eingeschränkt hat (Streichung der Angemessenheitskontrolle des Bundesverwaltungsgerichts gemäss aArt. 106 Abs. 1 Bst. c AsylG). Das Gericht hat in einem Grundsatzurteil (vgl. BVGE 2015/9) festgestellt, es bei dieser Rechtslage den vorinstanzlichen Verzicht auf die Anwendung der Kann-Bestimmung von Art. 29a Abs. 3 AsylV 1 nicht mehr inhaltlich auf Angemessenheit hin überprüfen darf, dass das SEM bei der Anwendung von Art. 29a Abs. 3 AsylV 1 über einen Ermessensspielraum verfügt und dass das Gericht seine Beurteilung nunmehr im Wesentlichen darauf zu beschränken hat, ob das SEM den Sachverhalt diesbezüglich korrekt und vollständig erhoben, allen wesentlichen Umständen Rechnung getragen und seinen Ermessensspielraum genutzt hat (vgl. Art. 106 Abs. 1 Bst. a und b AsylG). 7.2 Die angefochtene Verfügung ist unter diesem (eingeschränkten) Blickwinkel nicht zu beanstanden; insbesondere sind den Akten keine Hinweise auf einen Ermessensmissbrauch oder ein Über- respektive Unterschreiten des Ermessens zu entnehmen. Das Gericht enthält sich deshalb in diesem Zusammenhang weiterer Äusserungen. 7.3 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 7.4 Das SEM ist demnach zu Recht in Anwendung von Art. 31a Abs. 1 Bst. b AsylG auf das Asylgesuch der Beschwerdeführerin nicht eingetreten. Da die Beschwerdeführerin nicht im Besitz einer gültigen Aufenthalts- oder Niederlassungsbewilligung ist, wurde die Überstellung nach Belgien in Anwendung von Art. 44 AsylG ebenfalls zu Recht angeordnet (Art. 32 Bst. a AsylV 1). 8.Aus den Erwägungen ergibt sich, dass die angefochtene Verfügung kein Bundesrecht verletzt und auch sonst nicht zu beanstanden ist (Art. 106 AsylG und Art. 49 VwVG). Die Beschwerde ist somit abzuweisen. 9.Das Beschwerdeverfahren ist mit diesem Urteil abgeschlossen, weshalb sich die Anträge auf Gewährung der aufschiebenden Wirkung der Beschwerde sowie auf Verzicht auf die Erhebung eines Kostenvorschusses als gegenstandslos erweisen. 10.Der am 10. Mai 2019 angeordnete Vollzugsstopp fällt mit vorliegendem Urteil dahin. 11.Das mit der Beschwerde gestellte Gesuch um Gewährung der unentgeltlichen Prozessführung ist abzuweisen, da die Begehren - wie sich aus den vorstehenden Erwägungen ergibt - als aussichtslos zu bezeichnen sind, weshalb die Voraussetzungen von Art. 65 Abs. 1 VwVG nicht erfüllt sind. 12.Bei diesem Ausgang des Verfahrens sind die Kosten von Fr. 750.- (Art. 1 - 3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