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F-2222/2016 vom 21. März 2017</w:t>
      </w:r>
    </w:p>
    <w:p>
      <w:r>
        <w:t>Bundesverwaltungsgericht, 2017-03-21, FR</w:t>
      </w:r>
    </w:p>
    <w:p>
      <w:r>
        <w:rPr>
          <w:b/>
        </w:rPr>
        <w:t xml:space="preserve">Quelle: </w:t>
      </w:r>
      <w:r>
        <w:t>https://mcp.opencaselaw.ch/entscheid/bvger_F-2222_2016</w:t>
      </w:r>
    </w:p>
    <w:p>
      <w:r>
        <w:t>FR: TAF F-2222/2016 du 21 mars 2017</w:t>
      </w:r>
    </w:p>
    <w:p>
      <w:r>
        <w:t>IT: TAF F-2222/2016 del 21 marzo 2017</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(art. 1 al. 2 LTAF en relation avec l'art. 83 let. c ch. 2 a contrario de la loi fédérale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En outre, présenté dans la forme et les délais prescrits par la loi, le recours est recevable (art. 50 et 52 PA).</w:t>
      </w:r>
    </w:p>
    <w:p>
      <w:r>
        <w:rPr>
          <w:b/>
        </w:rPr>
        <w:t>E. 2.1</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et Al.,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w:t>
      </w:r>
    </w:p>
    <w:p>
      <w:r>
        <w:rPr>
          <w:b/>
        </w:rPr>
        <w:t>E. 2.4</w:t>
      </w:r>
    </w:p>
    <w:p>
      <w:r>
        <w:t>Le litige porte sur la question de savoir si c'est à bon droit que le SEM a refusé son approbation à l'octroi d'une autorisation de séjour en faveur de A._______, au motif qu'elle représentait une menace grave, réelle et actuelle pour l'ordre public suisse au sens de l'art. 5 al. 1 Annexe I ALCP, et a prononcé son renvoi de Suisse.</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11 août 2015 à l'approbation du SEM en conformité avec la législation et la jurisprudence (à ce sujet, cf. ATF 141 II 169 consid. 4.3.1, 4.3.2 et 6.1 et l'art. 85 al. 3 de l'ordonnance du 24 octobre 2007 relative à l'admission, au séjour et à l'exercice d'une activité lucrative [OASA, RS 142.201]). Il s'ensuit que le SEM et, a fortiori, le Tribunal ne sont pas liés par la décision du SPOP d'octroyer une autorisation de séjour aux recourants et peuvent parfaitement s'écarter de l'appréciation faite par cette autorité.</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2 al. 2, la LEtr n'est pas applicable aux ressortissants des Etats membres de la Communauté européenne (CE), aux membres de leur famille et aux travailleurs détachés que si l'ALCP n'en dispose pas autrement ou si ladite loi prévoit des dispositions plus favorables.</w:t>
      </w:r>
    </w:p>
    <w:p>
      <w:r>
        <w:rPr>
          <w:b/>
        </w:rPr>
        <w:t>E. 4.2</w:t>
      </w:r>
    </w:p>
    <w:p>
      <w:r>
        <w:t>Le droit de séjour et d'accès à une activité économique est garanti aux ressortissants des Etats signataires en vertu de l'art. 4 ALCP (cf. également les art. 2 et 6 Annexe I ALPC). Comme l'ensemble des droits conférés par l'Accord, le droit de demeurer en Suisse, respectivement le droit d'entrer dans ce pays, ne peut être limité que par des mesures d'ordre ou de sécurité publics, au sens de l'art. 5 al. 1 Annexe I ALCP, dont le cadre et les modalités sont définis en particulier par la directive 64/221/CEE (cf. ATF 139 II 121 consid. 5 ; 136 II 5 consid. 3.4).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139 II 121 consid. 5.3 ; arrêt du TF 2C_319/2015 du 10 septembre 2015 consid. 5.3).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(cf. art. 3 par. 2 de la directive 64/221/CEE). Il faut procéder à une appréciation spécifique du cas, portée sous l'angle des intérêts inhérents à la sauvegarde de l'ordre public, qui ne coïncide pas obligatoirement avec les appréciations à l'origine des condamnations pénales. Autrement dit, celles-ci ne sont déterminantes que si les circonstances les entourant laissent apparaître l'existence d'une menace actuelle et réelle, d'une certaine gravité pour l'ordre public (cf. ATF 139 II 121 consid. 5.3 ; 136 II 5 consid. 4.2).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(cf. ATF 130 II 176 consid. 4.3.1).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(cf. ATF 139 II 121 consid. 5.3 ; 137 II 297 consid. 3.3), étant précisé que la commission d'infractions qui sont en étroite relation avec la toxicomanie du délinquant peut, selon les circonstances, atténuer cette position de principe (cf. ATF 139 II 121 consid. 5.3 et réf. citées).</w:t>
      </w:r>
    </w:p>
    <w:p>
      <w:r>
        <w:rPr>
          <w:b/>
        </w:rPr>
        <w:t>E. 4.3.1</w:t>
      </w:r>
    </w:p>
    <w:p>
      <w:r>
        <w:t>En l'espèce, il faut d'emblée relever que les infractions pour lesquelles la recourante a été condamnée le 16 octobre 2012 doivent être considérées, du point de vue du droit suisse, comme un cas grave au sens de l'art. 19 al. 2 LStup, puisque 18 grammes de cocaïne pure suffisent déjà à cela (cf. ATF 122 IV 360 consid. 2a ; arrêt du TF 6B_579/2013 du 20 février 2014 consid. 3.4). En effet, la recourante a été condamnée pour avoir écoulé, avec une complice, 215 grammes de cocaïne, soit 69 grammes de cocaïne pure, entre la mi-mars 2011 et son interpellation le 31 mai 2011 (cf. acte d'accusation du 6 juin 2012 p. 2). De plus, à ceci s'ajoutent les 250 à 300 grammes de marijuana vendus par la recourante entre octobre et décembre 2010 (cf. acte d'accusation précité ibid.). A ce propos, le Tribunal observe qu'aucune diminution de la responsabilité pénale de la recourante n'a été retenue en relation avec sa consommation de stupéfiants. Certes, la recourante a admis avoir consommé de la cocaïne et de la marijuana. Il ne saurait toutefois être retenu à son égard que son trafic avait pour but d'assouvir une dépendance aux stupéfiants. A tout le moins, il ressort du 3ème interrogatoire de police du 9 juin 2011 que le bénéfice du trafic de cocaïne avait servi à payer de la nourriture, charger des abonnements téléphoniques, acquérir des vêtements, payer des frais d'essence, dormir dans deux hôtels - dont l'un cinq étoiles sis au bord du Léman - et acheter de la marijuana (cf. question 19 p. 4). Ainsi, il ressort de ce qui précède que la recourante a agi par appât du gain. La recourante s'est ainsi incontestablement rendue coupable d'infractions qui présentent objectivement une menace grave dont on ne saurait contester qu'elles affectent un intérêt fondamental de la société au sens de la jurisprudence précitée (cf. consid. 4.2 supra).</w:t>
      </w:r>
    </w:p>
    <w:p>
      <w:r>
        <w:rPr>
          <w:b/>
        </w:rPr>
        <w:t>E. 4.3.2</w:t>
      </w:r>
    </w:p>
    <w:p>
      <w:r>
        <w:t>S'agissant de la réalité et de l'actualité de la menace, il sied d'examiner plus en avant l'ensemble des circonstances du cas, en particulier au regard de la nature et de l'importance du bien juridique menacé, ainsi que de la gravité de l'atteinte qui pourrait y être portée.</w:t>
      </w:r>
    </w:p>
    <w:p>
      <w:r>
        <w:rPr>
          <w:b/>
        </w:rPr>
        <w:t>E. 4.3.2.1</w:t>
      </w:r>
    </w:p>
    <w:p>
      <w:r>
        <w:t>Plaide en défaveur de la recourante, le fait que la lutte contre le trafic de stupéfiants fonde une pratique rigoureuse en matière d'évaluation du risque de récidive (cf. consid. 4.2 supra). De plus, la recourante n'a pas rempli le formulaire d'autorisation de séjour de manière correcte. En effet, elle a indiqué ne jamais avoir fait l'objet d'une condamnation pénale en Suisse (cf. demande du 9 juin 2015 p. 2). La recourante allègue que "de bonne foi, [elle] n'avait toutefois aucune intention de mentir aux autorités. En effet, ayant été mise au bénéfice d'un sursis sans peine d'emprisonnement ferme, cette dernière ignorait, mais à tort, avoir été l'objet d'une « condamnation »". Le Tribunal peine toutefois à imaginer que la recourante, ayant exécuté 35 jours de détention préventive à l'âge de 20 ans, aurait "oublié" avoir été condamnée moins de trois ans plus tard (soit au moment de sa demande au SPOP) à une condamnation portant sur près de deux ans de détention et n'aurait donc pas sciemment menti à la police des étrangers. Cela est d'autant moins plausible que la recourante avait déjà démontré sa volonté très restreinte à collaborer avec les autorités de police valaisannes. En effet, il doit être relevé que, lors de ses interrogatoires de police en mai et juin 2011, la recourante a tenu des propos contradictoires et, après dénégation des faits reprochés, ne s'en est "souvenu" ou ne les a admis que lorsque les moyens de preuve étaient incontestables (cf. dossier Symic pp. 6 à 11, 18 à 20 et 29 à 32).</w:t>
      </w:r>
    </w:p>
    <w:p>
      <w:r>
        <w:rPr>
          <w:b/>
        </w:rPr>
        <w:t>E. 4.3.2.2</w:t>
      </w:r>
    </w:p>
    <w:p>
      <w:r>
        <w:t>A l'inverse, plaide en faveur de la recourante le fait qu'elle a reconnu "avoir commis des erreurs de jeunesse par le passé et a exprimé à plusieurs reprises des regrets quant à son comportement pénal tout en expliquant qu'elle était désormais sortie de cet engrenage" (cf. notamment recours p. 14). De même, les infractions pénales reprochées à la recourante ont été commises entre novembre 2010 et son arrestation le 31 mai 2011. Force est donc de constater que la recourante n'a plus commis d'infraction pénale depuis le 31 mai 2011 soit près de six ans, à tout le moins aucun élément au dossier ne laisse penser le contraire (cf. notamment les extraits du casier judiciaire suisse du 20 janvier 2017, 23 octobre 2015, casier de police espagnol du 16 décembre 2015 et casier judiciaire espagnol du 2 décembre 2015). Il peut également être souligné qu'il ne ressort pas non plus du dossier que la recourante aurait fait l'objet d'une condamnation antérieure à celle du 16 octobre 2012. Certes, la recourante a reçu des amendes d'ordre (excès de vitesse et stationnement) pour un montant de 1'500 francs. Cela étant, il semblerait que dites amendes ont été intégralement payées (cf. déterminations de la recourante du 10 février 2017 ; extrait du registre des poursuites du 19 janvier 2017). La recourante a également allégué former un couple stable avec un citoyen suisse, avoir changé de cercle d'amis et avoir quitté le milieu de la drogue. Il peut aussi être constaté que la recourante n'est plus étudiante et subvient à ses besoins. En effet, celle-ci travaille depuis son retour en Suisse dans un établissement hôtelier vaudois et a réalisé en 2016 un revenu mensuel net moyen (après déduction du loyer et des impôts à la source) d'environ 2'345 francs (cf. extrait du compte salaire du 4 janvier 2017 ; pièce 31 jointe au recours). Si ce revenu est modeste, il est toutefois suffisant pour assurer ses besoins en Suisse, étant rappelé que son loyer et ses impôts sont prélevés sur le salaire brut. Enfin, il doit être relevé que la recourante n'a pas de dettes (cf. extrait du registre des poursuites du 19 janvier 2017) et que les frais de procédures inhérents à sa condamnation pénale ont été payés (cf. pièces 33 à 37 jointes au recours). Dès lors, bien que la tentation de faire du trafic de stupéfiants pour s'assurer d'un train de vie plus élevé ne puisse être totalement exclue, il sied de relever que la recourante ne se trouve plus dans le même environnement qu'en 2011 et qu'elle semble avoir évolué positivement sur le plan personnel, professionnel et social.</w:t>
      </w:r>
    </w:p>
    <w:p>
      <w:r>
        <w:rPr>
          <w:b/>
        </w:rPr>
        <w:t>E. 4.3.3</w:t>
      </w:r>
    </w:p>
    <w:p>
      <w:r>
        <w:t>Au vu de ce qui précède, malgré la gravité des infractions dont la recourante a été reconnu coupable (notamment infraction grave à la LStup) et de l'importance des biens juridiques menacés (notamment santé publique), les éléments plaidant en faveur de la recourante sont suffisants pour que le Tribunal retienne que la menace constituée par la recourante ne saurait être considéré comme actuelle et réelle. Dès lors, il y a lieu de constater que, par son refus d'octroyer l'autorisation de séjour sollicitée, l'autorité inférieure a contrevenu à l'art. 5 Annexe I ALCP.</w:t>
      </w:r>
    </w:p>
    <w:p>
      <w:r>
        <w:rPr>
          <w:b/>
        </w:rPr>
        <w:t>E. 4.4</w:t>
      </w:r>
    </w:p>
    <w:p>
      <w:r>
        <w:t>Compte tenu de l'ensemble des éléments exposés ci-dessus, le recours doit être admis, la décision attaquée annulée et la délivrance par les autorités cantonales vaudoises d'une autorisation de séjour UE/AELE en faveur de A._______ approuvée. Il peut ainsi être renoncé à examiner les autres griefs de la recourante.</w:t>
      </w:r>
    </w:p>
    <w:p>
      <w:r>
        <w:rPr>
          <w:b/>
        </w:rPr>
        <w:t>E. 5.1</w:t>
      </w:r>
    </w:p>
    <w:p>
      <w:r>
        <w:t>Obtenant gain de cause, la recourante n'a pas à supporter de frais de procédure (cf. art. 63 al. 1 a contrario et al. 3 PA). Aucun frais n'est mis à la charge de l'autorité inférieure déboutée (cf. art. 63 al. 2 PA).</w:t>
      </w:r>
    </w:p>
    <w:p>
      <w:r>
        <w:rPr>
          <w:b/>
        </w:rPr>
        <w:t>E. 5.2</w:t>
      </w:r>
    </w:p>
    <w:p>
      <w:r>
        <w:t>En outre, la recourante a droit à des dépens (art. 64 al. 1 PA en relation avec l'art. 7 du règlement du 21 février 2008 concernant les frais, dépens et indemnités fixés par le Tribunal administratif fédéral [FITAF, RS 173.320.2]). Dans les conclusions du recours, les mandataires de la recourante ont requis l'allocation en faveur de cette dernière d'une indemnité de dépens. Dits mandataires n'ont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les mandataires de la recourante, le Tribunal estime, au regard des art. 8 FITAF et ss, que le versement d'un montant global de 1'400 francs à titre de dépens (y compris supplément TVA selon l'art. 9 al. 1 let. c FITAF)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